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cs="宋体"/>
          <w:b/>
          <w:color w:val="FF0000"/>
          <w:kern w:val="0"/>
          <w:sz w:val="68"/>
          <w:szCs w:val="84"/>
        </w:rPr>
      </w:pPr>
      <w:r>
        <w:rPr>
          <w:spacing w:val="24"/>
        </w:rPr>
        <w:pict>
          <v:line id="Line 2" o:spid="_x0000_s1026" o:spt="20" style="position:absolute;left:0pt;margin-left:1.5pt;margin-top:58.5pt;height:0pt;width:416.25pt;z-index:251658240;mso-width-relative:page;mso-height-relative:page;" stroked="t" coordsize="21600,21600" o:gfxdata="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rVp0TWAAAACQEAAA8AAAAAAAAAAQAgAAAAIgAAAGRycy9kb3ducmV2&#10;LnhtbFBLAQIUABQAAAAIAIdO4kA8AZfAxQEAAIwDAAAOAAAAAAAAAAEAIAAAACUBAABkcnMvZTJv&#10;RG9jLnhtbFBLBQYAAAAABgAGAFkBAABcBQAAAAA=&#10;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宋体" w:hAnsi="宋体" w:cs="宋体"/>
          <w:color w:val="FF0000"/>
          <w:spacing w:val="24"/>
          <w:sz w:val="78"/>
          <w:szCs w:val="72"/>
        </w:rPr>
        <w:t>厦门国家会计学院</w:t>
      </w:r>
    </w:p>
    <w:p>
      <w:pPr>
        <w:widowControl/>
        <w:spacing w:before="240" w:after="240" w:line="400" w:lineRule="exact"/>
        <w:jc w:val="center"/>
        <w:outlineLvl w:val="2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关于举办“新形势下企业财务骨干素质提升</w:t>
      </w:r>
    </w:p>
    <w:p>
      <w:pPr>
        <w:widowControl/>
        <w:spacing w:before="240" w:after="240" w:line="400" w:lineRule="exact"/>
        <w:jc w:val="center"/>
        <w:outlineLvl w:val="2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高级培训班”的通知</w:t>
      </w:r>
    </w:p>
    <w:p>
      <w:pPr>
        <w:keepNext/>
        <w:widowControl/>
        <w:spacing w:line="480" w:lineRule="exact"/>
        <w:jc w:val="left"/>
        <w:outlineLvl w:val="2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各有关单位：</w:t>
      </w:r>
    </w:p>
    <w:p>
      <w:pPr>
        <w:widowControl/>
        <w:spacing w:line="48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当前，财务正面临着挑战与机遇并存的新时期。一方面，在信息技术高速发展的时代下，财务机器人的应用日益广泛。传统的会计记账、报账、稽核等工作已陆续被智能机器人所取代，实现会计日常处理工作的自动化。另一方面，企业从高速发展向高质量发展转变的过程中，迫切需要高素质的财务骨干人员作为支撑。为此，我院特举办“新形势下企业财务骨干素质提升高级培训班”，以帮助企业财务骨干人员掌握前沿财务知识和先进的财务管理工具，提高专业素养，服务企业可持续健康发展。</w:t>
      </w:r>
    </w:p>
    <w:p>
      <w:pPr>
        <w:widowControl/>
        <w:spacing w:line="48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本课程侧重从大数据应用与财务转型、企业会计准则最新动向及热点难点问题、现金流与营运资本管理、企业财务分析决策与价值创造、管理会计新思维与相关应用指引解读、高效财务管理团队等模块，结合国内外优秀企业的典型案例，帮助财务人员提升专业能力与管理水平。</w:t>
      </w:r>
    </w:p>
    <w:p>
      <w:pPr>
        <w:pStyle w:val="2"/>
        <w:spacing w:before="0" w:after="0" w:line="480" w:lineRule="exact"/>
        <w:ind w:firstLine="480"/>
        <w:rPr>
          <w:rFonts w:cs="宋体" w:asciiTheme="minorEastAsia" w:hAnsiTheme="minorEastAsia" w:eastAsiaTheme="minorEastAsia"/>
          <w:bCs w:val="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 w:val="0"/>
          <w:kern w:val="0"/>
          <w:sz w:val="24"/>
          <w:szCs w:val="24"/>
        </w:rPr>
        <w:t>一</w:t>
      </w:r>
      <w:r>
        <w:rPr>
          <w:rFonts w:cs="宋体" w:asciiTheme="minorEastAsia" w:hAnsiTheme="minorEastAsia" w:eastAsiaTheme="minorEastAsia"/>
          <w:bCs w:val="0"/>
          <w:kern w:val="0"/>
          <w:sz w:val="24"/>
          <w:szCs w:val="24"/>
        </w:rPr>
        <w:t>、培训收益</w:t>
      </w:r>
    </w:p>
    <w:p>
      <w:pPr>
        <w:pStyle w:val="2"/>
        <w:spacing w:before="0" w:after="0" w:line="480" w:lineRule="exact"/>
        <w:ind w:firstLine="480"/>
        <w:rPr>
          <w:rFonts w:cs="宋体" w:asciiTheme="minorEastAsia" w:hAnsiTheme="minorEastAsia" w:eastAsiaTheme="minorEastAsia"/>
          <w:b w:val="0"/>
          <w:bCs w:val="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</w:rPr>
        <w:t>了解时代趋势与财务转型要求；读懂财务报表，洞察企业经营本质；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  <w:szCs w:val="24"/>
        </w:rPr>
        <w:t>掌握营运资本管理，挖掘资金潜能；掌握最近会计准则动向，提高专业能力；了解管理会计工具方法，服务管理升级；打造高效财务团队，赋能企业价值创造。</w:t>
      </w:r>
    </w:p>
    <w:p>
      <w:pPr>
        <w:pStyle w:val="2"/>
        <w:spacing w:before="0" w:after="0" w:line="480" w:lineRule="exact"/>
        <w:rPr>
          <w:rFonts w:cs="宋体" w:asciiTheme="minorEastAsia" w:hAnsiTheme="minorEastAsia" w:eastAsiaTheme="minorEastAsia"/>
          <w:bCs w:val="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 w:val="0"/>
          <w:kern w:val="0"/>
          <w:sz w:val="24"/>
          <w:szCs w:val="24"/>
        </w:rPr>
        <w:t xml:space="preserve">    二</w:t>
      </w:r>
      <w:r>
        <w:rPr>
          <w:rFonts w:cs="宋体" w:asciiTheme="minorEastAsia" w:hAnsiTheme="minorEastAsia" w:eastAsiaTheme="minorEastAsia"/>
          <w:bCs w:val="0"/>
          <w:kern w:val="0"/>
          <w:sz w:val="24"/>
          <w:szCs w:val="24"/>
        </w:rPr>
        <w:t>、培训对象</w:t>
      </w:r>
    </w:p>
    <w:p>
      <w:pPr>
        <w:shd w:val="clear" w:color="auto" w:fill="FFFFFF"/>
        <w:spacing w:line="480" w:lineRule="exac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</w:rPr>
        <w:t>企业（含二级单位）总会计师、财务负责人、分管财务领导、财务骨干等；</w:t>
      </w:r>
      <w:r>
        <w:rPr>
          <w:rFonts w:ascii="宋体" w:hAnsi="宋体" w:cs="宋体"/>
          <w:bCs/>
          <w:kern w:val="0"/>
          <w:sz w:val="24"/>
          <w:szCs w:val="24"/>
        </w:rPr>
        <w:t>；高校从事财务会计学、高级会计学教学的教师。</w:t>
      </w:r>
    </w:p>
    <w:p>
      <w:pPr>
        <w:pStyle w:val="2"/>
        <w:spacing w:before="0" w:after="0" w:line="480" w:lineRule="exact"/>
        <w:ind w:firstLine="482" w:firstLineChars="200"/>
        <w:rPr>
          <w:rFonts w:cs="宋体" w:asciiTheme="minorEastAsia" w:hAnsiTheme="minorEastAsia" w:eastAsiaTheme="minorEastAsia"/>
          <w:bCs w:val="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 w:val="0"/>
          <w:kern w:val="0"/>
          <w:sz w:val="24"/>
          <w:szCs w:val="24"/>
        </w:rPr>
        <w:t>三</w:t>
      </w:r>
      <w:r>
        <w:rPr>
          <w:rFonts w:cs="宋体" w:asciiTheme="minorEastAsia" w:hAnsiTheme="minorEastAsia" w:eastAsiaTheme="minorEastAsia"/>
          <w:bCs w:val="0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 w:eastAsiaTheme="minorEastAsia"/>
          <w:bCs w:val="0"/>
          <w:kern w:val="0"/>
          <w:sz w:val="24"/>
          <w:szCs w:val="24"/>
        </w:rPr>
        <w:t>培训内容</w:t>
      </w:r>
    </w:p>
    <w:p>
      <w:pPr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第一模块：大数据应用与财务转型</w:t>
      </w:r>
    </w:p>
    <w:p>
      <w:pPr>
        <w:pStyle w:val="17"/>
        <w:numPr>
          <w:ilvl w:val="0"/>
          <w:numId w:val="1"/>
        </w:numPr>
        <w:tabs>
          <w:tab w:val="left" w:pos="879"/>
        </w:tabs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数字经济与时代变革；</w:t>
      </w:r>
    </w:p>
    <w:p>
      <w:pPr>
        <w:pStyle w:val="17"/>
        <w:numPr>
          <w:ilvl w:val="0"/>
          <w:numId w:val="1"/>
        </w:numPr>
        <w:tabs>
          <w:tab w:val="left" w:pos="879"/>
        </w:tabs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大数据思维与企业核心竞争力；</w:t>
      </w:r>
    </w:p>
    <w:p>
      <w:pPr>
        <w:pStyle w:val="17"/>
        <w:numPr>
          <w:ilvl w:val="0"/>
          <w:numId w:val="1"/>
        </w:numPr>
        <w:tabs>
          <w:tab w:val="left" w:pos="879"/>
        </w:tabs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大数据时代的财务挑战；</w:t>
      </w:r>
    </w:p>
    <w:p>
      <w:pPr>
        <w:pStyle w:val="17"/>
        <w:numPr>
          <w:ilvl w:val="0"/>
          <w:numId w:val="2"/>
        </w:numPr>
        <w:tabs>
          <w:tab w:val="left" w:pos="879"/>
        </w:tabs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大数据应用与财务价值创造；</w:t>
      </w:r>
    </w:p>
    <w:p>
      <w:pPr>
        <w:pStyle w:val="17"/>
        <w:numPr>
          <w:ilvl w:val="0"/>
          <w:numId w:val="2"/>
        </w:numPr>
        <w:tabs>
          <w:tab w:val="left" w:pos="879"/>
        </w:tabs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从价值视角看财务定位；</w:t>
      </w:r>
    </w:p>
    <w:p>
      <w:pPr>
        <w:pStyle w:val="17"/>
        <w:numPr>
          <w:ilvl w:val="0"/>
          <w:numId w:val="2"/>
        </w:numPr>
        <w:tabs>
          <w:tab w:val="left" w:pos="879"/>
        </w:tabs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财务能力重构。</w:t>
      </w:r>
    </w:p>
    <w:p>
      <w:pPr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第二模块：现金流与营运资本管理：资金运作创效</w:t>
      </w:r>
    </w:p>
    <w:p>
      <w:pPr>
        <w:pStyle w:val="17"/>
        <w:numPr>
          <w:ilvl w:val="0"/>
          <w:numId w:val="3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现金管理理念；</w:t>
      </w:r>
    </w:p>
    <w:p>
      <w:pPr>
        <w:pStyle w:val="17"/>
        <w:numPr>
          <w:ilvl w:val="0"/>
          <w:numId w:val="3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现金管理工具与方法；</w:t>
      </w:r>
    </w:p>
    <w:p>
      <w:pPr>
        <w:pStyle w:val="17"/>
        <w:numPr>
          <w:ilvl w:val="0"/>
          <w:numId w:val="3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资金运营周期与资金供需分析；</w:t>
      </w:r>
    </w:p>
    <w:p>
      <w:pPr>
        <w:pStyle w:val="17"/>
        <w:numPr>
          <w:ilvl w:val="0"/>
          <w:numId w:val="3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资金预测与商业信用管理；</w:t>
      </w:r>
    </w:p>
    <w:p>
      <w:pPr>
        <w:pStyle w:val="17"/>
        <w:numPr>
          <w:ilvl w:val="0"/>
          <w:numId w:val="3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资本运作的本质与融资工具介绍；</w:t>
      </w:r>
    </w:p>
    <w:p>
      <w:pPr>
        <w:pStyle w:val="17"/>
        <w:numPr>
          <w:ilvl w:val="0"/>
          <w:numId w:val="3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营运资本管理典型案例。</w:t>
      </w:r>
    </w:p>
    <w:p>
      <w:pPr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第三模块：会计准则变动热点、难点</w:t>
      </w:r>
    </w:p>
    <w:p>
      <w:pPr>
        <w:pStyle w:val="17"/>
        <w:numPr>
          <w:ilvl w:val="0"/>
          <w:numId w:val="4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企业会计准则新动向；</w:t>
      </w:r>
    </w:p>
    <w:p>
      <w:pPr>
        <w:pStyle w:val="17"/>
        <w:numPr>
          <w:ilvl w:val="0"/>
          <w:numId w:val="4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收入准则热点、难点；</w:t>
      </w:r>
    </w:p>
    <w:p>
      <w:pPr>
        <w:pStyle w:val="17"/>
        <w:numPr>
          <w:ilvl w:val="0"/>
          <w:numId w:val="4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租赁准则热点、难点；</w:t>
      </w:r>
    </w:p>
    <w:p>
      <w:pPr>
        <w:pStyle w:val="17"/>
        <w:numPr>
          <w:ilvl w:val="0"/>
          <w:numId w:val="4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长期股权投资系列准则热点、难点。</w:t>
      </w:r>
    </w:p>
    <w:p>
      <w:pPr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第四模块：企业财务分析决策与价值创造</w:t>
      </w:r>
    </w:p>
    <w:p>
      <w:pPr>
        <w:pStyle w:val="17"/>
        <w:numPr>
          <w:ilvl w:val="0"/>
          <w:numId w:val="5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新经济下的企业价值创造；</w:t>
      </w:r>
    </w:p>
    <w:p>
      <w:pPr>
        <w:pStyle w:val="17"/>
        <w:numPr>
          <w:ilvl w:val="0"/>
          <w:numId w:val="5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财务报告分析框架与报表逻辑；</w:t>
      </w:r>
    </w:p>
    <w:p>
      <w:pPr>
        <w:pStyle w:val="17"/>
        <w:numPr>
          <w:ilvl w:val="0"/>
          <w:numId w:val="5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从财务报告看企业价值创造路径；</w:t>
      </w:r>
    </w:p>
    <w:p>
      <w:pPr>
        <w:pStyle w:val="17"/>
        <w:numPr>
          <w:ilvl w:val="0"/>
          <w:numId w:val="5"/>
        </w:numPr>
        <w:spacing w:line="480" w:lineRule="exact"/>
        <w:ind w:left="315" w:firstLine="120" w:firstLineChars="5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企业盈利能力与资产管理效率分析；</w:t>
      </w:r>
    </w:p>
    <w:p>
      <w:pPr>
        <w:pStyle w:val="17"/>
        <w:numPr>
          <w:ilvl w:val="0"/>
          <w:numId w:val="5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企业偿债能力与现金流分析。</w:t>
      </w:r>
    </w:p>
    <w:p>
      <w:pPr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第五模块：管理会计新思维与相关应用指引解读</w:t>
      </w:r>
    </w:p>
    <w:p>
      <w:pPr>
        <w:pStyle w:val="17"/>
        <w:numPr>
          <w:ilvl w:val="0"/>
          <w:numId w:val="6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我国管理会计指引体系框架；</w:t>
      </w:r>
    </w:p>
    <w:p>
      <w:pPr>
        <w:pStyle w:val="17"/>
        <w:numPr>
          <w:ilvl w:val="0"/>
          <w:numId w:val="6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管理会计基本指引解读；</w:t>
      </w:r>
    </w:p>
    <w:p>
      <w:pPr>
        <w:pStyle w:val="17"/>
        <w:numPr>
          <w:ilvl w:val="0"/>
          <w:numId w:val="6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管理会计应用指引概要；</w:t>
      </w:r>
    </w:p>
    <w:p>
      <w:pPr>
        <w:pStyle w:val="17"/>
        <w:numPr>
          <w:ilvl w:val="0"/>
          <w:numId w:val="6"/>
        </w:numPr>
        <w:spacing w:line="480" w:lineRule="exact"/>
        <w:ind w:left="315" w:firstLine="120" w:firstLineChars="5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基于价值创造的管理会计思维。</w:t>
      </w:r>
    </w:p>
    <w:p>
      <w:pPr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第六模块：如何打造高效财务管理团队</w:t>
      </w:r>
    </w:p>
    <w:p>
      <w:pPr>
        <w:pStyle w:val="17"/>
        <w:numPr>
          <w:ilvl w:val="0"/>
          <w:numId w:val="7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财务人员能力框架；</w:t>
      </w:r>
    </w:p>
    <w:p>
      <w:pPr>
        <w:pStyle w:val="17"/>
        <w:numPr>
          <w:ilvl w:val="0"/>
          <w:numId w:val="7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财务沟通与决策助推；</w:t>
      </w:r>
    </w:p>
    <w:p>
      <w:pPr>
        <w:pStyle w:val="17"/>
        <w:numPr>
          <w:ilvl w:val="0"/>
          <w:numId w:val="7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财务领导力；</w:t>
      </w:r>
    </w:p>
    <w:p>
      <w:pPr>
        <w:pStyle w:val="17"/>
        <w:numPr>
          <w:ilvl w:val="0"/>
          <w:numId w:val="7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团队协作；</w:t>
      </w:r>
    </w:p>
    <w:p>
      <w:pPr>
        <w:pStyle w:val="17"/>
        <w:numPr>
          <w:ilvl w:val="0"/>
          <w:numId w:val="7"/>
        </w:numPr>
        <w:spacing w:line="480" w:lineRule="exact"/>
        <w:ind w:firstLineChars="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人才培养与创新。</w:t>
      </w:r>
    </w:p>
    <w:p>
      <w:pPr>
        <w:shd w:val="clear" w:color="auto" w:fill="FFFFFF"/>
        <w:spacing w:line="480" w:lineRule="exact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四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 w:eastAsiaTheme="minorEastAsia"/>
          <w:b/>
          <w:sz w:val="24"/>
        </w:rPr>
        <w:t>专家阵容</w:t>
      </w:r>
    </w:p>
    <w:p>
      <w:pPr>
        <w:shd w:val="clear" w:color="auto" w:fill="FFFFFF"/>
        <w:spacing w:line="480" w:lineRule="exact"/>
        <w:ind w:firstLine="480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所有课程由厦门国家会计学院精心组织的专门师资团队授课，授课老师皆具有深厚理论功底及丰富实践经验。师资包括厦门国家会计学院教授、实务界资深专家、政策制定者等。</w:t>
      </w:r>
    </w:p>
    <w:p>
      <w:pPr>
        <w:shd w:val="clear" w:color="auto" w:fill="FFFFFF"/>
        <w:spacing w:line="480" w:lineRule="exact"/>
        <w:ind w:firstLine="472" w:firstLineChars="196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五、培训班时间、地点</w:t>
      </w:r>
    </w:p>
    <w:p>
      <w:pPr>
        <w:shd w:val="clear" w:color="auto" w:fill="FFFFFF"/>
        <w:spacing w:line="480" w:lineRule="exact"/>
        <w:ind w:firstLine="470" w:firstLineChars="196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2020年11月9日—14日（9日报到，14日返程）  厦门国家会计学院</w:t>
      </w:r>
    </w:p>
    <w:p>
      <w:pPr>
        <w:shd w:val="clear" w:color="auto" w:fill="FFFFFF"/>
        <w:spacing w:line="480" w:lineRule="exact"/>
        <w:ind w:firstLine="472" w:firstLineChars="196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六、收费标准及缴费方式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1、培训费：每人收费6800元（含培训费、场地费、结业证书等费用）；     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2、厦门国家会计学院食宿费标准为每人每天340元（含独立学员公寓、三餐及康体设施使用）；      </w:t>
      </w:r>
    </w:p>
    <w:p>
      <w:pPr>
        <w:shd w:val="clear" w:color="auto" w:fill="FFFFFF"/>
        <w:spacing w:line="48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3、报到时直接缴纳现金或刷卡缴费。            </w:t>
      </w:r>
    </w:p>
    <w:p>
      <w:pPr>
        <w:shd w:val="clear" w:color="auto" w:fill="FFFFFF"/>
        <w:spacing w:line="48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七、结业证书</w:t>
      </w:r>
    </w:p>
    <w:p>
      <w:pPr>
        <w:shd w:val="clear" w:color="auto" w:fill="FFFFFF"/>
        <w:spacing w:line="48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培训班结束后由厦门国家会计学院颁发结业证书。</w:t>
      </w:r>
    </w:p>
    <w:p>
      <w:pPr>
        <w:shd w:val="clear" w:color="auto" w:fill="FFFFFF"/>
        <w:spacing w:line="48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八、增值服务</w:t>
      </w:r>
    </w:p>
    <w:p>
      <w:pPr>
        <w:shd w:val="clear" w:color="auto" w:fill="FFFFFF"/>
        <w:spacing w:line="4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1、报名参加公开班的学员每人赠送《会计名家网络课程》1门；</w:t>
      </w:r>
    </w:p>
    <w:p>
      <w:pPr>
        <w:shd w:val="clear" w:color="auto" w:fill="FFFFFF"/>
        <w:spacing w:line="48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2、《会计名家网络课程》集结</w:t>
      </w:r>
      <w:r>
        <w:rPr>
          <w:rFonts w:ascii="宋体" w:hAnsi="宋体" w:cs="宋体"/>
          <w:kern w:val="0"/>
          <w:sz w:val="24"/>
        </w:rPr>
        <w:t>了</w:t>
      </w:r>
      <w:r>
        <w:rPr>
          <w:rFonts w:hint="eastAsia" w:ascii="宋体" w:hAnsi="宋体" w:cs="宋体"/>
          <w:kern w:val="0"/>
          <w:sz w:val="24"/>
        </w:rPr>
        <w:t>财政部“会计</w:t>
      </w:r>
      <w:r>
        <w:rPr>
          <w:rFonts w:ascii="宋体" w:hAnsi="宋体" w:cs="宋体"/>
          <w:kern w:val="0"/>
          <w:sz w:val="24"/>
        </w:rPr>
        <w:t>名家培养工程</w:t>
      </w:r>
      <w:r>
        <w:rPr>
          <w:rFonts w:hint="eastAsia" w:ascii="宋体" w:hAnsi="宋体" w:cs="宋体"/>
          <w:kern w:val="0"/>
          <w:sz w:val="24"/>
        </w:rPr>
        <w:t>”30位</w:t>
      </w:r>
      <w:r>
        <w:rPr>
          <w:rFonts w:ascii="宋体" w:hAnsi="宋体" w:cs="宋体"/>
          <w:kern w:val="0"/>
          <w:sz w:val="24"/>
        </w:rPr>
        <w:t>知名教授</w:t>
      </w:r>
      <w:r>
        <w:rPr>
          <w:rFonts w:hint="eastAsia" w:ascii="宋体" w:hAnsi="宋体" w:cs="宋体"/>
          <w:kern w:val="0"/>
          <w:sz w:val="24"/>
        </w:rPr>
        <w:t>担任</w:t>
      </w:r>
      <w:r>
        <w:rPr>
          <w:rFonts w:ascii="宋体" w:hAnsi="宋体" w:cs="宋体"/>
          <w:kern w:val="0"/>
          <w:sz w:val="24"/>
        </w:rPr>
        <w:t>主讲人，</w:t>
      </w:r>
      <w:r>
        <w:rPr>
          <w:rFonts w:hint="eastAsia" w:ascii="宋体" w:hAnsi="宋体" w:cs="宋体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内容涵盖财务会计、管理会计、财务管理、审计内控、经营管理</w:t>
      </w:r>
      <w:r>
        <w:rPr>
          <w:rFonts w:hint="eastAsia" w:ascii="宋体" w:hAnsi="宋体" w:cs="宋体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多个领域</w:t>
      </w:r>
      <w:r>
        <w:rPr>
          <w:rFonts w:hint="eastAsia" w:ascii="宋体" w:hAnsi="宋体" w:cs="宋体"/>
          <w:kern w:val="0"/>
          <w:sz w:val="24"/>
        </w:rPr>
        <w:t>，是老师们</w:t>
      </w:r>
      <w:r>
        <w:rPr>
          <w:rFonts w:ascii="宋体" w:hAnsi="宋体" w:cs="宋体"/>
          <w:kern w:val="0"/>
          <w:sz w:val="24"/>
        </w:rPr>
        <w:t>多年教学科研成果的精华提炼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hd w:val="clear" w:color="auto" w:fill="FFFFFF"/>
        <w:spacing w:line="48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九、报名咨询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李老师   0592-2578197</w:t>
      </w:r>
    </w:p>
    <w:p>
      <w:pPr>
        <w:shd w:val="clear" w:color="auto" w:fill="FFFFFF"/>
        <w:spacing w:line="48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于</w:t>
      </w:r>
      <w:r>
        <w:rPr>
          <w:rFonts w:hint="eastAsia" w:cs="宋体" w:asciiTheme="minorEastAsia" w:hAnsiTheme="minorEastAsia"/>
          <w:sz w:val="24"/>
          <w:szCs w:val="24"/>
          <w:lang w:eastAsia="zh-CN"/>
        </w:rPr>
        <w:t>老师</w:t>
      </w:r>
      <w:r>
        <w:rPr>
          <w:rFonts w:hint="eastAsia" w:cs="宋体" w:asciiTheme="minorEastAsia" w:hAnsiTheme="minorEastAsia"/>
          <w:sz w:val="24"/>
          <w:szCs w:val="24"/>
        </w:rPr>
        <w:t xml:space="preserve">   13910280750（微信同步）</w:t>
      </w:r>
    </w:p>
    <w:p>
      <w:pPr>
        <w:spacing w:line="46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460" w:lineRule="exact"/>
        <w:ind w:left="482" w:firstLine="5481" w:firstLineChars="19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厦门国家会计学院</w:t>
      </w:r>
    </w:p>
    <w:p>
      <w:pPr>
        <w:shd w:val="clear" w:color="auto" w:fill="FFFFFF"/>
        <w:spacing w:line="480" w:lineRule="exact"/>
        <w:ind w:firstLine="6465" w:firstLineChars="23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2020年10月</w:t>
      </w:r>
    </w:p>
    <w:p>
      <w:pPr>
        <w:widowControl/>
        <w:spacing w:line="580" w:lineRule="exact"/>
        <w:ind w:firstLine="843" w:firstLineChars="3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新形势下企业财务骨干素质提升高级培训班报名回执表</w:t>
      </w:r>
    </w:p>
    <w:tbl>
      <w:tblPr>
        <w:tblStyle w:val="9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8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97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报名程序：</w:t>
            </w:r>
          </w:p>
          <w:p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请将报名回执表填写完整后发送至85463535@qq.com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联系人：李老师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电话号码：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0592-2578197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于济铭     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机：13910280750 （微信同步）</w:t>
            </w:r>
            <w:bookmarkStart w:id="0" w:name="_GoBack"/>
            <w:bookmarkEnd w:id="0"/>
          </w:p>
          <w:p>
            <w:pPr>
              <w:spacing w:line="38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备注：学院谢绝学员携带家属和小孩，谢谢！</w:t>
            </w:r>
          </w:p>
        </w:tc>
      </w:tr>
    </w:tbl>
    <w:p>
      <w:pPr>
        <w:spacing w:line="440" w:lineRule="exact"/>
        <w:rPr>
          <w:rFonts w:ascii="宋体" w:hAnsi="宋体" w:cs="宋体"/>
          <w:b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7C9FA"/>
    <w:multiLevelType w:val="singleLevel"/>
    <w:tmpl w:val="B157C9FA"/>
    <w:lvl w:ilvl="0" w:tentative="0">
      <w:start w:val="1"/>
      <w:numFmt w:val="decimal"/>
      <w:lvlText w:val="%1、"/>
      <w:lvlJc w:val="left"/>
      <w:pPr>
        <w:tabs>
          <w:tab w:val="left" w:pos="312"/>
        </w:tabs>
      </w:pPr>
      <w:rPr>
        <w:rFonts w:cs="宋体" w:asciiTheme="minorEastAsia" w:hAnsiTheme="minorEastAsia" w:eastAsiaTheme="minorEastAsia"/>
      </w:rPr>
    </w:lvl>
  </w:abstractNum>
  <w:abstractNum w:abstractNumId="1">
    <w:nsid w:val="2D067759"/>
    <w:multiLevelType w:val="singleLevel"/>
    <w:tmpl w:val="2D067759"/>
    <w:lvl w:ilvl="0" w:tentative="0">
      <w:start w:val="1"/>
      <w:numFmt w:val="decimal"/>
      <w:lvlText w:val="%1、"/>
      <w:lvlJc w:val="left"/>
      <w:pPr>
        <w:tabs>
          <w:tab w:val="left" w:pos="312"/>
        </w:tabs>
      </w:pPr>
      <w:rPr>
        <w:rFonts w:cs="宋体" w:asciiTheme="minorEastAsia" w:hAnsiTheme="minorEastAsia" w:eastAsiaTheme="minorEastAsia"/>
      </w:rPr>
    </w:lvl>
  </w:abstractNum>
  <w:abstractNum w:abstractNumId="2">
    <w:nsid w:val="34722438"/>
    <w:multiLevelType w:val="multilevel"/>
    <w:tmpl w:val="34722438"/>
    <w:lvl w:ilvl="0" w:tentative="0">
      <w:start w:val="4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93A8ADA"/>
    <w:multiLevelType w:val="singleLevel"/>
    <w:tmpl w:val="493A8ADA"/>
    <w:lvl w:ilvl="0" w:tentative="0">
      <w:start w:val="1"/>
      <w:numFmt w:val="decimal"/>
      <w:lvlText w:val="%1、"/>
      <w:lvlJc w:val="left"/>
      <w:pPr>
        <w:tabs>
          <w:tab w:val="left" w:pos="738"/>
        </w:tabs>
      </w:pPr>
      <w:rPr>
        <w:rFonts w:cs="宋体" w:asciiTheme="minorEastAsia" w:hAnsiTheme="minorEastAsia" w:eastAsiaTheme="minorEastAsia"/>
      </w:rPr>
    </w:lvl>
  </w:abstractNum>
  <w:abstractNum w:abstractNumId="4">
    <w:nsid w:val="4A0578B2"/>
    <w:multiLevelType w:val="singleLevel"/>
    <w:tmpl w:val="4A0578B2"/>
    <w:lvl w:ilvl="0" w:tentative="0">
      <w:start w:val="1"/>
      <w:numFmt w:val="decimal"/>
      <w:lvlText w:val="%1、"/>
      <w:lvlJc w:val="left"/>
      <w:pPr>
        <w:tabs>
          <w:tab w:val="left" w:pos="312"/>
        </w:tabs>
      </w:pPr>
      <w:rPr>
        <w:rFonts w:cs="宋体" w:asciiTheme="minorEastAsia" w:hAnsiTheme="minorEastAsia" w:eastAsiaTheme="minorEastAsia"/>
      </w:rPr>
    </w:lvl>
  </w:abstractNum>
  <w:abstractNum w:abstractNumId="5">
    <w:nsid w:val="54AE1DCF"/>
    <w:multiLevelType w:val="singleLevel"/>
    <w:tmpl w:val="54AE1DCF"/>
    <w:lvl w:ilvl="0" w:tentative="0">
      <w:start w:val="1"/>
      <w:numFmt w:val="decimal"/>
      <w:lvlText w:val="%1、"/>
      <w:lvlJc w:val="left"/>
      <w:pPr>
        <w:tabs>
          <w:tab w:val="left" w:pos="312"/>
        </w:tabs>
      </w:pPr>
      <w:rPr>
        <w:rFonts w:cs="宋体" w:asciiTheme="minorEastAsia" w:hAnsiTheme="minorEastAsia" w:eastAsiaTheme="minorEastAsia"/>
      </w:rPr>
    </w:lvl>
  </w:abstractNum>
  <w:abstractNum w:abstractNumId="6">
    <w:nsid w:val="68C049DD"/>
    <w:multiLevelType w:val="multilevel"/>
    <w:tmpl w:val="68C049DD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C62"/>
    <w:rsid w:val="000314E7"/>
    <w:rsid w:val="000524AE"/>
    <w:rsid w:val="00063690"/>
    <w:rsid w:val="00074621"/>
    <w:rsid w:val="00090373"/>
    <w:rsid w:val="00091687"/>
    <w:rsid w:val="00097782"/>
    <w:rsid w:val="000B104E"/>
    <w:rsid w:val="000C4ADA"/>
    <w:rsid w:val="000C5079"/>
    <w:rsid w:val="000C6A7C"/>
    <w:rsid w:val="000D1F60"/>
    <w:rsid w:val="000E5E83"/>
    <w:rsid w:val="00103E6E"/>
    <w:rsid w:val="00137208"/>
    <w:rsid w:val="00143D9E"/>
    <w:rsid w:val="00146576"/>
    <w:rsid w:val="00164DAD"/>
    <w:rsid w:val="001669EE"/>
    <w:rsid w:val="00167EA8"/>
    <w:rsid w:val="00172A27"/>
    <w:rsid w:val="00186BFE"/>
    <w:rsid w:val="001A61BC"/>
    <w:rsid w:val="001B58BE"/>
    <w:rsid w:val="001D3266"/>
    <w:rsid w:val="001E7DAF"/>
    <w:rsid w:val="001F4F1D"/>
    <w:rsid w:val="001F7EDC"/>
    <w:rsid w:val="002227EA"/>
    <w:rsid w:val="00243D3F"/>
    <w:rsid w:val="00246611"/>
    <w:rsid w:val="002638C2"/>
    <w:rsid w:val="0027049A"/>
    <w:rsid w:val="00271C1E"/>
    <w:rsid w:val="00283ED7"/>
    <w:rsid w:val="002A0E4C"/>
    <w:rsid w:val="002C56C3"/>
    <w:rsid w:val="002C5C22"/>
    <w:rsid w:val="002D195D"/>
    <w:rsid w:val="002F4AAC"/>
    <w:rsid w:val="00301DA9"/>
    <w:rsid w:val="003032F7"/>
    <w:rsid w:val="00313C3A"/>
    <w:rsid w:val="00327EE3"/>
    <w:rsid w:val="00331126"/>
    <w:rsid w:val="00347361"/>
    <w:rsid w:val="00352989"/>
    <w:rsid w:val="00364E40"/>
    <w:rsid w:val="003805E0"/>
    <w:rsid w:val="00383991"/>
    <w:rsid w:val="003A5823"/>
    <w:rsid w:val="00402863"/>
    <w:rsid w:val="00413AB3"/>
    <w:rsid w:val="00416FE8"/>
    <w:rsid w:val="00417ED0"/>
    <w:rsid w:val="00420E8B"/>
    <w:rsid w:val="004A62C6"/>
    <w:rsid w:val="004B4E44"/>
    <w:rsid w:val="004C3FBE"/>
    <w:rsid w:val="004D57F0"/>
    <w:rsid w:val="004E3EA8"/>
    <w:rsid w:val="00505911"/>
    <w:rsid w:val="00525F5C"/>
    <w:rsid w:val="00534F35"/>
    <w:rsid w:val="00545C2A"/>
    <w:rsid w:val="00552E63"/>
    <w:rsid w:val="00560963"/>
    <w:rsid w:val="00560C45"/>
    <w:rsid w:val="00591C35"/>
    <w:rsid w:val="005B0E12"/>
    <w:rsid w:val="005C302E"/>
    <w:rsid w:val="005C448D"/>
    <w:rsid w:val="005D2CF2"/>
    <w:rsid w:val="005D5A81"/>
    <w:rsid w:val="005E6711"/>
    <w:rsid w:val="0060783A"/>
    <w:rsid w:val="006330BA"/>
    <w:rsid w:val="00651E8E"/>
    <w:rsid w:val="00653C81"/>
    <w:rsid w:val="00675268"/>
    <w:rsid w:val="00676581"/>
    <w:rsid w:val="00681FD6"/>
    <w:rsid w:val="006B4751"/>
    <w:rsid w:val="006C4106"/>
    <w:rsid w:val="006D5B8E"/>
    <w:rsid w:val="006F1438"/>
    <w:rsid w:val="006F3F41"/>
    <w:rsid w:val="006F437C"/>
    <w:rsid w:val="006F72A6"/>
    <w:rsid w:val="00700DF6"/>
    <w:rsid w:val="007139AB"/>
    <w:rsid w:val="00714F3A"/>
    <w:rsid w:val="00715014"/>
    <w:rsid w:val="00716FCD"/>
    <w:rsid w:val="00735445"/>
    <w:rsid w:val="00740EF7"/>
    <w:rsid w:val="00745B35"/>
    <w:rsid w:val="00776682"/>
    <w:rsid w:val="007A3285"/>
    <w:rsid w:val="007A7AF2"/>
    <w:rsid w:val="007B0853"/>
    <w:rsid w:val="007D7EF6"/>
    <w:rsid w:val="007F7BAF"/>
    <w:rsid w:val="0080595C"/>
    <w:rsid w:val="00807F4C"/>
    <w:rsid w:val="00813E81"/>
    <w:rsid w:val="00843D2F"/>
    <w:rsid w:val="008508AC"/>
    <w:rsid w:val="008547B2"/>
    <w:rsid w:val="00875851"/>
    <w:rsid w:val="00877071"/>
    <w:rsid w:val="00883E23"/>
    <w:rsid w:val="00885952"/>
    <w:rsid w:val="008C0FAD"/>
    <w:rsid w:val="00912FF7"/>
    <w:rsid w:val="00917D8D"/>
    <w:rsid w:val="009276B5"/>
    <w:rsid w:val="00940C30"/>
    <w:rsid w:val="009463EF"/>
    <w:rsid w:val="00970093"/>
    <w:rsid w:val="00970AE5"/>
    <w:rsid w:val="009836AF"/>
    <w:rsid w:val="009A27BC"/>
    <w:rsid w:val="009A695B"/>
    <w:rsid w:val="009B30BE"/>
    <w:rsid w:val="009B6283"/>
    <w:rsid w:val="009C37BC"/>
    <w:rsid w:val="009C4534"/>
    <w:rsid w:val="009D6106"/>
    <w:rsid w:val="009F217B"/>
    <w:rsid w:val="00A14205"/>
    <w:rsid w:val="00A15388"/>
    <w:rsid w:val="00A168D0"/>
    <w:rsid w:val="00A343DD"/>
    <w:rsid w:val="00A378A0"/>
    <w:rsid w:val="00A4463C"/>
    <w:rsid w:val="00A57BA5"/>
    <w:rsid w:val="00A67BDD"/>
    <w:rsid w:val="00A9658F"/>
    <w:rsid w:val="00A97885"/>
    <w:rsid w:val="00AB664C"/>
    <w:rsid w:val="00AC48B2"/>
    <w:rsid w:val="00AF2C8C"/>
    <w:rsid w:val="00AF7824"/>
    <w:rsid w:val="00B14BB4"/>
    <w:rsid w:val="00B54C30"/>
    <w:rsid w:val="00B65499"/>
    <w:rsid w:val="00B719C4"/>
    <w:rsid w:val="00B87FA8"/>
    <w:rsid w:val="00BA1EBF"/>
    <w:rsid w:val="00BA4A5B"/>
    <w:rsid w:val="00BA7116"/>
    <w:rsid w:val="00BC0147"/>
    <w:rsid w:val="00BD009E"/>
    <w:rsid w:val="00BD49FE"/>
    <w:rsid w:val="00BD7C39"/>
    <w:rsid w:val="00BF0C2F"/>
    <w:rsid w:val="00C078F8"/>
    <w:rsid w:val="00C109B3"/>
    <w:rsid w:val="00C13793"/>
    <w:rsid w:val="00C32352"/>
    <w:rsid w:val="00C34460"/>
    <w:rsid w:val="00C376A2"/>
    <w:rsid w:val="00C643B5"/>
    <w:rsid w:val="00C7536E"/>
    <w:rsid w:val="00C917BC"/>
    <w:rsid w:val="00CB00A9"/>
    <w:rsid w:val="00CD1B61"/>
    <w:rsid w:val="00D03C22"/>
    <w:rsid w:val="00D10C00"/>
    <w:rsid w:val="00D1738B"/>
    <w:rsid w:val="00D3020F"/>
    <w:rsid w:val="00D46840"/>
    <w:rsid w:val="00D63A23"/>
    <w:rsid w:val="00D6412C"/>
    <w:rsid w:val="00D77A1F"/>
    <w:rsid w:val="00D827EA"/>
    <w:rsid w:val="00D940A3"/>
    <w:rsid w:val="00DC0F2C"/>
    <w:rsid w:val="00DC7E69"/>
    <w:rsid w:val="00DD595D"/>
    <w:rsid w:val="00DE7BAD"/>
    <w:rsid w:val="00DE7EF3"/>
    <w:rsid w:val="00DF4AB1"/>
    <w:rsid w:val="00E044A6"/>
    <w:rsid w:val="00E359F4"/>
    <w:rsid w:val="00E518DB"/>
    <w:rsid w:val="00E63393"/>
    <w:rsid w:val="00EA548D"/>
    <w:rsid w:val="00EB6C5D"/>
    <w:rsid w:val="00EC1007"/>
    <w:rsid w:val="00EE3B7E"/>
    <w:rsid w:val="00EF0314"/>
    <w:rsid w:val="00EF384F"/>
    <w:rsid w:val="00EF407F"/>
    <w:rsid w:val="00F178E8"/>
    <w:rsid w:val="00F248FD"/>
    <w:rsid w:val="00F36845"/>
    <w:rsid w:val="00F404E3"/>
    <w:rsid w:val="00F605FD"/>
    <w:rsid w:val="00F902DA"/>
    <w:rsid w:val="00FD1D76"/>
    <w:rsid w:val="00FD25C5"/>
    <w:rsid w:val="00FD46C9"/>
    <w:rsid w:val="00FE40E1"/>
    <w:rsid w:val="00FF25AC"/>
    <w:rsid w:val="092D5161"/>
    <w:rsid w:val="0D482CC3"/>
    <w:rsid w:val="19E65BAF"/>
    <w:rsid w:val="1BE077D3"/>
    <w:rsid w:val="1E57090A"/>
    <w:rsid w:val="253708C9"/>
    <w:rsid w:val="27AB59C1"/>
    <w:rsid w:val="2C9A79C4"/>
    <w:rsid w:val="46D509A5"/>
    <w:rsid w:val="513535E9"/>
    <w:rsid w:val="53FB425E"/>
    <w:rsid w:val="5F4F030D"/>
    <w:rsid w:val="68994558"/>
    <w:rsid w:val="6D6532AF"/>
    <w:rsid w:val="6F516AB1"/>
    <w:rsid w:val="73F868EE"/>
    <w:rsid w:val="752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locked/>
    <w:uiPriority w:val="9"/>
    <w:pPr>
      <w:keepNext/>
      <w:widowControl/>
      <w:spacing w:before="240" w:after="240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页脚 Char"/>
    <w:basedOn w:val="11"/>
    <w:link w:val="6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6">
    <w:name w:val="padding2e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8">
    <w:name w:val="标题 3 Char"/>
    <w:basedOn w:val="11"/>
    <w:link w:val="4"/>
    <w:qFormat/>
    <w:uiPriority w:val="9"/>
    <w:rPr>
      <w:rFonts w:ascii="宋体" w:hAnsi="宋体" w:cs="宋体"/>
      <w:b/>
      <w:bCs/>
      <w:sz w:val="28"/>
      <w:szCs w:val="28"/>
    </w:rPr>
  </w:style>
  <w:style w:type="character" w:customStyle="1" w:styleId="19">
    <w:name w:val="标题 1 Char"/>
    <w:basedOn w:val="11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Char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981AF-99F8-49A1-926E-7047710ED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1555</Characters>
  <Lines>12</Lines>
  <Paragraphs>3</Paragraphs>
  <TotalTime>0</TotalTime>
  <ScaleCrop>false</ScaleCrop>
  <LinksUpToDate>false</LinksUpToDate>
  <CharactersWithSpaces>1824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2019-05-06T07:15:00Z</dcterms:created>
  <dc:creator>Administrator</dc:creator>
  <cp:lastModifiedBy>hkjhljljljk</cp:lastModifiedBy>
  <cp:lastPrinted>2019-03-19T03:46:00Z</cp:lastPrinted>
  <dcterms:modified xsi:type="dcterms:W3CDTF">2020-10-20T02:46:35Z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KSORubyTemplateID" linkTarget="0">
    <vt:lpwstr>6</vt:lpwstr>
  </property>
</Properties>
</file>