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65" w:rsidRDefault="00A419D6">
      <w:pPr>
        <w:widowControl/>
        <w:spacing w:line="480" w:lineRule="auto"/>
        <w:jc w:val="center"/>
        <w:rPr>
          <w:rFonts w:ascii="宋体" w:cs="宋体"/>
          <w:b/>
          <w:color w:val="FF0000"/>
          <w:kern w:val="0"/>
          <w:sz w:val="68"/>
          <w:szCs w:val="84"/>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734060</wp:posOffset>
                </wp:positionV>
                <wp:extent cx="5320030" cy="8890"/>
                <wp:effectExtent l="19050" t="19685" r="139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0030" cy="889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CFD1"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8pt" to="42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B6HgIAADY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" strokecolor="red" strokeweight="2pt"/>
            </w:pict>
          </mc:Fallback>
        </mc:AlternateContent>
      </w:r>
      <w:r w:rsidR="004051F7">
        <w:rPr>
          <w:rFonts w:ascii="宋体" w:hAnsi="宋体" w:cs="宋体" w:hint="eastAsia"/>
          <w:color w:val="FF0000"/>
          <w:spacing w:val="24"/>
          <w:sz w:val="78"/>
          <w:szCs w:val="72"/>
        </w:rPr>
        <w:t>厦门国家会计学院</w:t>
      </w:r>
    </w:p>
    <w:p w:rsidR="00F66565" w:rsidRDefault="004051F7" w:rsidP="00D455DE">
      <w:pPr>
        <w:keepNext/>
        <w:widowControl/>
        <w:spacing w:beforeLines="50" w:before="156" w:afterLines="50" w:after="156" w:line="480" w:lineRule="exact"/>
        <w:ind w:firstLineChars="100" w:firstLine="281"/>
        <w:outlineLvl w:val="2"/>
        <w:rPr>
          <w:rFonts w:ascii="宋体" w:hAnsi="宋体" w:cs="宋体"/>
          <w:b/>
          <w:kern w:val="0"/>
          <w:sz w:val="28"/>
          <w:szCs w:val="28"/>
        </w:rPr>
      </w:pPr>
      <w:r>
        <w:rPr>
          <w:rFonts w:ascii="宋体" w:hAnsi="宋体" w:cs="宋体" w:hint="eastAsia"/>
          <w:b/>
          <w:kern w:val="0"/>
          <w:sz w:val="28"/>
          <w:szCs w:val="28"/>
        </w:rPr>
        <w:t>关于举办“企业内部控制与风险管理实践高级培训班”的通知</w:t>
      </w:r>
    </w:p>
    <w:p w:rsidR="00F66565" w:rsidRDefault="004051F7">
      <w:pPr>
        <w:keepNext/>
        <w:widowControl/>
        <w:spacing w:line="480" w:lineRule="exact"/>
        <w:jc w:val="left"/>
        <w:outlineLvl w:val="2"/>
        <w:rPr>
          <w:rFonts w:ascii="宋体" w:hAnsi="宋体"/>
          <w:b/>
          <w:sz w:val="24"/>
          <w:szCs w:val="24"/>
        </w:rPr>
      </w:pPr>
      <w:r>
        <w:rPr>
          <w:rFonts w:ascii="宋体" w:hAnsi="宋体" w:hint="eastAsia"/>
          <w:b/>
          <w:sz w:val="24"/>
          <w:szCs w:val="24"/>
        </w:rPr>
        <w:t>各有关单位：</w:t>
      </w:r>
    </w:p>
    <w:p w:rsidR="00F66565" w:rsidRDefault="004051F7">
      <w:pPr>
        <w:keepNext/>
        <w:widowControl/>
        <w:spacing w:line="480" w:lineRule="exact"/>
        <w:ind w:firstLineChars="200" w:firstLine="480"/>
        <w:jc w:val="left"/>
        <w:outlineLvl w:val="2"/>
        <w:rPr>
          <w:rFonts w:ascii="宋体" w:hAnsi="宋体"/>
          <w:b/>
          <w:sz w:val="24"/>
          <w:szCs w:val="24"/>
        </w:rPr>
      </w:pPr>
      <w:r>
        <w:rPr>
          <w:rFonts w:ascii="宋体" w:hAnsi="宋体" w:hint="eastAsia"/>
          <w:sz w:val="24"/>
          <w:szCs w:val="24"/>
        </w:rPr>
        <w:t>随着公司面临的外部环境不断变化，全球性“风险社会的到来”以及业务发展的飞速，以风险管理为核心的内控体系建设尤为重要。国务院国有资产监督管理委员会于2019年10月19日推出</w:t>
      </w:r>
      <w:r>
        <w:rPr>
          <w:rFonts w:asciiTheme="minorEastAsia" w:eastAsiaTheme="minorEastAsia" w:hAnsiTheme="minorEastAsia" w:cs="宋体" w:hint="eastAsia"/>
          <w:kern w:val="0"/>
          <w:sz w:val="24"/>
          <w:szCs w:val="24"/>
        </w:rPr>
        <w:t>《关于加强国有企业内部控制体系建设与监督工作的实施意见》。文件中明确提出有效的内部控制体系及监督工作是国有企业实现高质量发展、强基固本、防范重大风险、培养世界一流企业的重要基础及立命之本。</w:t>
      </w:r>
    </w:p>
    <w:p w:rsidR="00F66565" w:rsidRDefault="004051F7">
      <w:pPr>
        <w:spacing w:line="48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厦门国家会计学院邀请内控体系建设经验丰富的师资团队倾力打造了“企业内部控制与风险管理”培训课程。课程设计结合企业实践，深入挖掘，精心提炼，力求落实企业内控管理制度，协助企业内控和风控从被动式事后管理向主动式事前管理模式转换，提高企业重大事项专项风险管理水平和决策质量。</w:t>
      </w:r>
    </w:p>
    <w:p w:rsidR="00F66565" w:rsidRDefault="004051F7">
      <w:pPr>
        <w:spacing w:line="480" w:lineRule="exact"/>
        <w:ind w:firstLineChars="196" w:firstLine="472"/>
        <w:rPr>
          <w:rFonts w:asciiTheme="minorEastAsia" w:hAnsiTheme="minorEastAsia" w:cstheme="minorEastAsia"/>
          <w:b/>
          <w:sz w:val="24"/>
        </w:rPr>
      </w:pPr>
      <w:r>
        <w:rPr>
          <w:rFonts w:asciiTheme="minorEastAsia" w:hAnsiTheme="minorEastAsia" w:cstheme="minorEastAsia" w:hint="eastAsia"/>
          <w:b/>
          <w:sz w:val="24"/>
        </w:rPr>
        <w:t>一、培训对象</w:t>
      </w:r>
    </w:p>
    <w:p w:rsidR="00F66565" w:rsidRDefault="004051F7">
      <w:pPr>
        <w:shd w:val="clear" w:color="auto" w:fill="FFFFFF"/>
        <w:tabs>
          <w:tab w:val="left" w:pos="720"/>
        </w:tabs>
        <w:spacing w:line="480" w:lineRule="exact"/>
        <w:ind w:firstLineChars="200" w:firstLine="480"/>
        <w:rPr>
          <w:rFonts w:ascii="宋体" w:cs="宋体"/>
          <w:sz w:val="24"/>
          <w:szCs w:val="24"/>
        </w:rPr>
      </w:pPr>
      <w:r>
        <w:rPr>
          <w:rFonts w:ascii="宋体" w:hAnsi="宋体" w:cs="宋体" w:hint="eastAsia"/>
          <w:sz w:val="24"/>
          <w:szCs w:val="24"/>
        </w:rPr>
        <w:t>董事长、总经理、内部控制项目负责人及其他高层管理者；企业内审总监、内审经理、内审处长等内部审计部门负责人及高级主管；上市公司董秘、监事、内部控制委员会负责人及其他高级管理人员；企业总会计师、财务总监、财务部门转岗从事内部审计的负责人；专职从事内部控制评价、风险管理的从业人员。</w:t>
      </w:r>
    </w:p>
    <w:p w:rsidR="00F66565" w:rsidRDefault="004051F7">
      <w:pPr>
        <w:spacing w:line="48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二、课程收益</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领悟内控精髓，掌握国内外内控相关法律要求和价值取向；学会排查企业面临的风险，针对风险设计出高效的控制流程；掌握落实内控的方法，提高业务运行效率，达到降本增效目标。</w:t>
      </w:r>
    </w:p>
    <w:p w:rsidR="00F66565" w:rsidRDefault="004051F7">
      <w:pPr>
        <w:spacing w:line="480" w:lineRule="exact"/>
        <w:ind w:firstLineChars="196" w:firstLine="472"/>
        <w:rPr>
          <w:rFonts w:asciiTheme="minorEastAsia" w:hAnsiTheme="minorEastAsia" w:cstheme="minorEastAsia"/>
          <w:b/>
          <w:bCs/>
          <w:sz w:val="24"/>
        </w:rPr>
      </w:pPr>
      <w:r>
        <w:rPr>
          <w:rFonts w:asciiTheme="minorEastAsia" w:hAnsiTheme="minorEastAsia" w:cstheme="minorEastAsia" w:hint="eastAsia"/>
          <w:b/>
          <w:bCs/>
          <w:sz w:val="24"/>
        </w:rPr>
        <w:t>三、培训内容</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第一模块：企业内部控制与风险管理发展最新趋势</w:t>
      </w:r>
    </w:p>
    <w:p w:rsidR="00F66565" w:rsidRDefault="004051F7">
      <w:pPr>
        <w:shd w:val="clear" w:color="auto" w:fill="FFFFFF"/>
        <w:tabs>
          <w:tab w:val="left" w:pos="720"/>
        </w:tabs>
        <w:spacing w:line="480" w:lineRule="exact"/>
        <w:ind w:firstLineChars="200" w:firstLine="482"/>
        <w:rPr>
          <w:rFonts w:ascii="宋体" w:hAnsi="宋体" w:cs="宋体"/>
          <w:b/>
          <w:sz w:val="24"/>
          <w:szCs w:val="24"/>
        </w:rPr>
      </w:pPr>
      <w:r>
        <w:rPr>
          <w:rFonts w:asciiTheme="minorEastAsia" w:eastAsiaTheme="minorEastAsia" w:hAnsiTheme="minorEastAsia" w:cs="宋体" w:hint="eastAsia"/>
          <w:b/>
          <w:sz w:val="24"/>
          <w:szCs w:val="24"/>
        </w:rPr>
        <w:t>（一）企业</w:t>
      </w:r>
      <w:r>
        <w:rPr>
          <w:rFonts w:ascii="宋体" w:hAnsi="宋体" w:cs="宋体" w:hint="eastAsia"/>
          <w:b/>
          <w:sz w:val="24"/>
          <w:szCs w:val="24"/>
        </w:rPr>
        <w:t>内部控制最新法规解读</w:t>
      </w:r>
    </w:p>
    <w:p w:rsidR="00F66565" w:rsidRDefault="004051F7" w:rsidP="00D455DE">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《关于加强国有企业内部控制体系建设与监督工作的实施意见》解读。</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lastRenderedPageBreak/>
        <w:t>（二）企业重大风险案例解读</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1、国资委重大风险案件处罚分析；</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2、资本市场重大风险案件解读；</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3、衍生金融工具投资风险案例分析；</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4、不良资产处置案例分析；</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5、海外投资风险案例分析。</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（三）企业风险管理的最新发展趋势</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1、近十年中国企业的风险激化问题；</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2、企业多区域发展的流程风险；</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3、传统企业多元化发展的跨行业风险。</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第二模块：企业内部控制理论与实务</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（一）企业内部控制理论</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1、内部控制理论概述；</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2、内部控制理论发展新趋势。</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（二）企业内部控制实施的支撑框架</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1、企业内部控制实施原则</w:t>
      </w:r>
      <w:r>
        <w:rPr>
          <w:rFonts w:asciiTheme="minorEastAsia" w:eastAsiaTheme="minorEastAsia" w:hAnsiTheme="minorEastAsia" w:cs="宋体" w:hint="eastAsia"/>
          <w:sz w:val="24"/>
          <w:szCs w:val="24"/>
        </w:rPr>
        <w:t>；</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2、内部控制与企业战略；</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3、企业内部控制规划；</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4、企业内部控制实施框架。</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（三）企业内部控制流程与实务</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1、企业内部控制基本流程；</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2、内部环境；</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3、风险评估；</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4、控制活动；</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5、信息与沟通；</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6、对控制的监督。</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第三模块：企业风险管理框架与技术</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（一）风险管理的本质</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1、风险管理的起点；</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2、风险管理的内容及载体；</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3、重大事项专项风险的识别及评估；</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4、风险管理的前瞻性。</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（二）风险管理的框架及技术</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1、风险管理整体框架；</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2、风险地图；</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3、风险量化的两个维度；</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4、风险管理策略的逻辑及应用；</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5、剩余风险与持续监督。</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第四模块：内部控制和风险管理监管与资本市场</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（一）企业对接资本市场的风控要求</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1、中美两国资本市场对准IPO企业的风控要求；</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2、准IPO企业风控问题被否决案例；</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3、上市公司风控监管的内容及逻辑。</w:t>
      </w:r>
    </w:p>
    <w:p w:rsidR="00F66565" w:rsidRDefault="004051F7">
      <w:pPr>
        <w:shd w:val="clear" w:color="auto" w:fill="FFFFFF"/>
        <w:tabs>
          <w:tab w:val="left" w:pos="720"/>
        </w:tabs>
        <w:spacing w:line="480" w:lineRule="exact"/>
        <w:ind w:firstLineChars="200" w:firstLine="482"/>
        <w:rPr>
          <w:rFonts w:ascii="宋体" w:hAnsi="宋体" w:cs="宋体"/>
          <w:b/>
          <w:sz w:val="24"/>
          <w:szCs w:val="24"/>
        </w:rPr>
      </w:pPr>
      <w:r>
        <w:rPr>
          <w:rFonts w:ascii="宋体" w:hAnsi="宋体" w:cs="宋体" w:hint="eastAsia"/>
          <w:b/>
          <w:sz w:val="24"/>
          <w:szCs w:val="24"/>
        </w:rPr>
        <w:t>（二）从集团管控视角看内部控制</w:t>
      </w:r>
    </w:p>
    <w:p w:rsidR="00F66565" w:rsidRDefault="004051F7">
      <w:pPr>
        <w:shd w:val="clear" w:color="auto" w:fill="FFFFFF"/>
        <w:tabs>
          <w:tab w:val="left" w:pos="720"/>
        </w:tabs>
        <w:spacing w:line="480" w:lineRule="exact"/>
        <w:ind w:firstLine="480"/>
        <w:rPr>
          <w:rFonts w:ascii="宋体" w:hAnsi="宋体" w:cs="宋体"/>
          <w:sz w:val="24"/>
          <w:szCs w:val="24"/>
        </w:rPr>
      </w:pPr>
      <w:r>
        <w:rPr>
          <w:rFonts w:ascii="宋体" w:hAnsi="宋体" w:cs="宋体" w:hint="eastAsia"/>
          <w:sz w:val="24"/>
          <w:szCs w:val="24"/>
        </w:rPr>
        <w:t>1、内部控制升级为集团管控的路径模式；</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2、集团管控与内部控制的共同点：流程与制度的梳理与整合；</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3、集团管控模式分类与企业内部控制的不同特征。</w:t>
      </w:r>
    </w:p>
    <w:p w:rsidR="00F66565" w:rsidRDefault="004051F7">
      <w:pPr>
        <w:shd w:val="clear" w:color="auto" w:fill="FFFFFF"/>
        <w:tabs>
          <w:tab w:val="left" w:pos="720"/>
        </w:tabs>
        <w:spacing w:line="48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（三）管理模式升级对企业风险管理的影响</w:t>
      </w:r>
    </w:p>
    <w:p w:rsidR="00F66565" w:rsidRDefault="004051F7">
      <w:pPr>
        <w:shd w:val="clear" w:color="auto" w:fill="FFFFFF"/>
        <w:tabs>
          <w:tab w:val="left" w:pos="720"/>
        </w:tabs>
        <w:spacing w:line="480" w:lineRule="exact"/>
        <w:ind w:firstLineChars="196" w:firstLine="47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1、轻资产模式——虚拟经营的应用；</w:t>
      </w:r>
    </w:p>
    <w:p w:rsidR="00F66565" w:rsidRDefault="004051F7">
      <w:pPr>
        <w:shd w:val="clear" w:color="auto" w:fill="FFFFFF"/>
        <w:tabs>
          <w:tab w:val="left" w:pos="720"/>
        </w:tabs>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2、轻资产模式对企业风险的影响。</w:t>
      </w:r>
    </w:p>
    <w:p w:rsidR="00F66565" w:rsidRDefault="004051F7">
      <w:pPr>
        <w:spacing w:line="48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第五模块：企业内部控制评价与监督</w:t>
      </w:r>
    </w:p>
    <w:p w:rsidR="00F66565" w:rsidRDefault="004051F7">
      <w:pPr>
        <w:spacing w:line="48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（一）企业内部控制评价实务</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1、内部控制评价的内容；</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2、内部控制评价的程序；</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3、内部控制缺陷的认定；</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4、内部控制评价报告。</w:t>
      </w:r>
    </w:p>
    <w:p w:rsidR="00F66565" w:rsidRDefault="004051F7">
      <w:pPr>
        <w:spacing w:line="480" w:lineRule="exact"/>
        <w:ind w:firstLineChars="200" w:firstLine="482"/>
        <w:rPr>
          <w:rFonts w:asciiTheme="minorEastAsia" w:hAnsiTheme="minorEastAsia" w:cstheme="minorEastAsia"/>
          <w:b/>
          <w:bCs/>
          <w:sz w:val="24"/>
        </w:rPr>
      </w:pPr>
      <w:r>
        <w:rPr>
          <w:rFonts w:ascii="宋体" w:hAnsi="宋体" w:cs="宋体" w:hint="eastAsia"/>
          <w:b/>
          <w:sz w:val="24"/>
          <w:szCs w:val="24"/>
        </w:rPr>
        <w:t>（二）企业内部控制体系监督</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1、内控、风险与合规，三位一体融合；</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lastRenderedPageBreak/>
        <w:t>2、企业大监督体系的构建；</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3、内部控制监督的职责分工；</w:t>
      </w:r>
    </w:p>
    <w:p w:rsidR="00F66565" w:rsidRDefault="004051F7">
      <w:pPr>
        <w:shd w:val="clear" w:color="auto" w:fill="FFFFFF"/>
        <w:tabs>
          <w:tab w:val="left" w:pos="720"/>
        </w:tabs>
        <w:spacing w:line="480" w:lineRule="exact"/>
        <w:ind w:firstLineChars="200" w:firstLine="480"/>
        <w:rPr>
          <w:rFonts w:ascii="宋体" w:hAnsi="宋体" w:cs="宋体"/>
          <w:sz w:val="24"/>
          <w:szCs w:val="24"/>
        </w:rPr>
      </w:pPr>
      <w:r>
        <w:rPr>
          <w:rFonts w:ascii="宋体" w:hAnsi="宋体" w:cs="宋体" w:hint="eastAsia"/>
          <w:sz w:val="24"/>
          <w:szCs w:val="24"/>
        </w:rPr>
        <w:t>4、内部控制监督后优化。</w:t>
      </w:r>
    </w:p>
    <w:p w:rsidR="00F66565" w:rsidRDefault="004051F7">
      <w:pPr>
        <w:widowControl/>
        <w:spacing w:line="480" w:lineRule="exact"/>
        <w:ind w:firstLineChars="200" w:firstLine="482"/>
        <w:jc w:val="left"/>
        <w:rPr>
          <w:rFonts w:ascii="宋体" w:hAnsi="宋体" w:cs="宋体"/>
          <w:b/>
          <w:kern w:val="0"/>
          <w:sz w:val="24"/>
        </w:rPr>
      </w:pPr>
      <w:r>
        <w:rPr>
          <w:rFonts w:ascii="宋体" w:hAnsi="宋体" w:cs="宋体" w:hint="eastAsia"/>
          <w:b/>
          <w:kern w:val="0"/>
          <w:sz w:val="24"/>
        </w:rPr>
        <w:t xml:space="preserve">四、师资安排                                                                                                                                                                                                                                                                                                                                       </w:t>
      </w:r>
    </w:p>
    <w:p w:rsidR="00F66565" w:rsidRDefault="004051F7">
      <w:pPr>
        <w:widowControl/>
        <w:spacing w:line="480" w:lineRule="exact"/>
        <w:ind w:leftChars="57" w:left="120" w:firstLineChars="150" w:firstLine="360"/>
        <w:rPr>
          <w:rFonts w:ascii="宋体" w:hAnsi="宋体" w:cs="宋体"/>
          <w:sz w:val="24"/>
        </w:rPr>
      </w:pPr>
      <w:r>
        <w:rPr>
          <w:rFonts w:ascii="宋体" w:hAnsi="宋体" w:cs="宋体" w:hint="eastAsia"/>
          <w:sz w:val="24"/>
        </w:rPr>
        <w:t xml:space="preserve">所有课程由厦门国家会计学院精心组织的专门师资团队授课，授课老师皆具有深厚理论功底及丰富实践经验。师资包括厦门国家会计学院教授、实务界资深专家、政策制定者等。                                                                                                                                                                                                                                                    </w:t>
      </w:r>
    </w:p>
    <w:p w:rsidR="00F66565" w:rsidRDefault="004051F7">
      <w:pPr>
        <w:widowControl/>
        <w:spacing w:line="480" w:lineRule="exact"/>
        <w:ind w:firstLineChars="200" w:firstLine="482"/>
        <w:jc w:val="left"/>
        <w:rPr>
          <w:rFonts w:ascii="宋体" w:hAnsi="宋体" w:cs="宋体"/>
          <w:b/>
          <w:kern w:val="0"/>
          <w:sz w:val="24"/>
        </w:rPr>
      </w:pPr>
      <w:r>
        <w:rPr>
          <w:rFonts w:ascii="宋体" w:hAnsi="宋体" w:cs="宋体" w:hint="eastAsia"/>
          <w:b/>
          <w:kern w:val="0"/>
          <w:sz w:val="24"/>
        </w:rPr>
        <w:t xml:space="preserve">五、培训班时间、地点                                                                                 </w:t>
      </w:r>
    </w:p>
    <w:p w:rsidR="00F66565" w:rsidRDefault="004051F7" w:rsidP="00D455DE">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2020年</w:t>
      </w:r>
      <w:r w:rsidR="00D455DE">
        <w:rPr>
          <w:rFonts w:ascii="宋体" w:hAnsi="宋体" w:cs="宋体" w:hint="eastAsia"/>
          <w:kern w:val="0"/>
          <w:sz w:val="24"/>
        </w:rPr>
        <w:t>12</w:t>
      </w:r>
      <w:r>
        <w:rPr>
          <w:rFonts w:ascii="宋体" w:hAnsi="宋体" w:cs="宋体" w:hint="eastAsia"/>
          <w:kern w:val="0"/>
          <w:sz w:val="24"/>
        </w:rPr>
        <w:t>月</w:t>
      </w:r>
      <w:r w:rsidR="00D455DE">
        <w:rPr>
          <w:rFonts w:ascii="宋体" w:hAnsi="宋体" w:cs="宋体" w:hint="eastAsia"/>
          <w:kern w:val="0"/>
          <w:sz w:val="24"/>
        </w:rPr>
        <w:t>21</w:t>
      </w:r>
      <w:r>
        <w:rPr>
          <w:rFonts w:ascii="宋体" w:hAnsi="宋体" w:cs="宋体" w:hint="eastAsia"/>
          <w:kern w:val="0"/>
          <w:sz w:val="24"/>
        </w:rPr>
        <w:t>日—</w:t>
      </w:r>
      <w:r w:rsidR="00D455DE">
        <w:rPr>
          <w:rFonts w:ascii="宋体" w:hAnsi="宋体" w:cs="宋体" w:hint="eastAsia"/>
          <w:kern w:val="0"/>
          <w:sz w:val="24"/>
        </w:rPr>
        <w:t>25</w:t>
      </w:r>
      <w:r>
        <w:rPr>
          <w:rFonts w:ascii="宋体" w:hAnsi="宋体" w:cs="宋体" w:hint="eastAsia"/>
          <w:kern w:val="0"/>
          <w:sz w:val="24"/>
        </w:rPr>
        <w:t>日（</w:t>
      </w:r>
      <w:r w:rsidR="00F7523D">
        <w:rPr>
          <w:rFonts w:ascii="宋体" w:hAnsi="宋体" w:cs="宋体" w:hint="eastAsia"/>
          <w:kern w:val="0"/>
          <w:sz w:val="24"/>
        </w:rPr>
        <w:t>2</w:t>
      </w:r>
      <w:r w:rsidR="00D455DE">
        <w:rPr>
          <w:rFonts w:ascii="宋体" w:hAnsi="宋体" w:cs="宋体" w:hint="eastAsia"/>
          <w:kern w:val="0"/>
          <w:sz w:val="24"/>
        </w:rPr>
        <w:t>1</w:t>
      </w:r>
      <w:r>
        <w:rPr>
          <w:rFonts w:ascii="宋体" w:hAnsi="宋体" w:cs="宋体" w:hint="eastAsia"/>
          <w:kern w:val="0"/>
          <w:sz w:val="24"/>
        </w:rPr>
        <w:t>日报到，</w:t>
      </w:r>
      <w:r w:rsidR="00D455DE">
        <w:rPr>
          <w:rFonts w:ascii="宋体" w:hAnsi="宋体" w:cs="宋体" w:hint="eastAsia"/>
          <w:kern w:val="0"/>
          <w:sz w:val="24"/>
        </w:rPr>
        <w:t>25</w:t>
      </w:r>
      <w:r>
        <w:rPr>
          <w:rFonts w:ascii="宋体" w:hAnsi="宋体" w:cs="宋体" w:hint="eastAsia"/>
          <w:kern w:val="0"/>
          <w:sz w:val="24"/>
        </w:rPr>
        <w:t>日返程）</w:t>
      </w:r>
      <w:r w:rsidR="006924F8">
        <w:rPr>
          <w:rFonts w:ascii="宋体" w:hAnsi="宋体" w:cs="宋体" w:hint="eastAsia"/>
          <w:kern w:val="0"/>
          <w:sz w:val="24"/>
        </w:rPr>
        <w:t xml:space="preserve">   </w:t>
      </w:r>
      <w:r>
        <w:rPr>
          <w:rFonts w:ascii="宋体" w:hAnsi="宋体" w:cs="宋体" w:hint="eastAsia"/>
          <w:kern w:val="0"/>
          <w:sz w:val="24"/>
        </w:rPr>
        <w:t>厦门国家会计学院</w:t>
      </w:r>
    </w:p>
    <w:p w:rsidR="00F66565" w:rsidRDefault="004051F7">
      <w:pPr>
        <w:widowControl/>
        <w:spacing w:line="480" w:lineRule="exact"/>
        <w:ind w:firstLineChars="200" w:firstLine="482"/>
        <w:jc w:val="left"/>
        <w:rPr>
          <w:rFonts w:ascii="宋体" w:hAnsi="宋体" w:cs="宋体"/>
          <w:b/>
          <w:kern w:val="0"/>
          <w:sz w:val="24"/>
        </w:rPr>
      </w:pPr>
      <w:r>
        <w:rPr>
          <w:rFonts w:ascii="宋体" w:hAnsi="宋体" w:cs="宋体" w:hint="eastAsia"/>
          <w:b/>
          <w:kern w:val="0"/>
          <w:sz w:val="24"/>
        </w:rPr>
        <w:t xml:space="preserve">六、收费标准及缴费方式                                                                                                                        </w:t>
      </w:r>
    </w:p>
    <w:p w:rsidR="00F66565" w:rsidRDefault="004051F7">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 xml:space="preserve">1、每人收费5800元（含培训费、场地费、结业证书等费用）；     </w:t>
      </w:r>
    </w:p>
    <w:p w:rsidR="00F66565" w:rsidRDefault="004051F7">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2、厦门国家会计学院食宿费标准为每人每天340元（含独立学员公寓、三餐及康体设施使用） ；</w:t>
      </w:r>
    </w:p>
    <w:p w:rsidR="00F66565" w:rsidRDefault="004051F7">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 xml:space="preserve">3、报到时直接缴纳现金或刷卡缴费。                                                                           </w:t>
      </w:r>
    </w:p>
    <w:p w:rsidR="00F66565" w:rsidRDefault="004051F7">
      <w:pPr>
        <w:widowControl/>
        <w:spacing w:line="480" w:lineRule="exact"/>
        <w:ind w:firstLineChars="200" w:firstLine="482"/>
        <w:jc w:val="left"/>
        <w:rPr>
          <w:rFonts w:ascii="宋体" w:hAnsi="宋体" w:cs="宋体"/>
          <w:kern w:val="0"/>
          <w:sz w:val="24"/>
        </w:rPr>
      </w:pPr>
      <w:r>
        <w:rPr>
          <w:rFonts w:ascii="宋体" w:hAnsi="宋体" w:cs="宋体" w:hint="eastAsia"/>
          <w:b/>
          <w:kern w:val="0"/>
          <w:sz w:val="24"/>
        </w:rPr>
        <w:t xml:space="preserve">七、结业证书                                                        </w:t>
      </w:r>
    </w:p>
    <w:p w:rsidR="00F66565" w:rsidRDefault="004051F7">
      <w:pPr>
        <w:shd w:val="clear" w:color="auto" w:fill="FFFFFF"/>
        <w:spacing w:line="480" w:lineRule="exact"/>
        <w:ind w:firstLineChars="200" w:firstLine="480"/>
        <w:rPr>
          <w:rFonts w:ascii="宋体" w:hAnsi="宋体" w:cs="宋体"/>
          <w:kern w:val="0"/>
          <w:sz w:val="24"/>
        </w:rPr>
      </w:pPr>
      <w:r>
        <w:rPr>
          <w:rFonts w:ascii="宋体" w:hAnsi="宋体" w:cs="宋体" w:hint="eastAsia"/>
          <w:kern w:val="0"/>
          <w:sz w:val="24"/>
        </w:rPr>
        <w:t>培训班结束后由厦门国家会计学院颁发结业证书。</w:t>
      </w:r>
    </w:p>
    <w:p w:rsidR="00F66565" w:rsidRDefault="004051F7">
      <w:pPr>
        <w:shd w:val="clear" w:color="auto" w:fill="FFFFFF"/>
        <w:spacing w:line="480" w:lineRule="exact"/>
        <w:ind w:firstLineChars="200" w:firstLine="482"/>
        <w:rPr>
          <w:rFonts w:ascii="宋体" w:hAnsi="宋体" w:cs="宋体"/>
          <w:b/>
          <w:kern w:val="0"/>
          <w:sz w:val="24"/>
        </w:rPr>
      </w:pPr>
      <w:r>
        <w:rPr>
          <w:rFonts w:ascii="宋体" w:hAnsi="宋体" w:cs="宋体" w:hint="eastAsia"/>
          <w:b/>
          <w:kern w:val="0"/>
          <w:sz w:val="24"/>
        </w:rPr>
        <w:t>八、增值服务</w:t>
      </w:r>
    </w:p>
    <w:p w:rsidR="00F66565" w:rsidRDefault="004051F7">
      <w:pPr>
        <w:shd w:val="clear" w:color="auto" w:fill="FFFFFF"/>
        <w:spacing w:line="480" w:lineRule="exact"/>
        <w:ind w:firstLineChars="200" w:firstLine="480"/>
        <w:rPr>
          <w:rFonts w:ascii="宋体" w:hAnsi="宋体" w:cs="宋体"/>
          <w:kern w:val="0"/>
          <w:sz w:val="24"/>
        </w:rPr>
      </w:pPr>
      <w:r>
        <w:rPr>
          <w:rFonts w:ascii="宋体" w:hAnsi="宋体" w:cs="宋体" w:hint="eastAsia"/>
          <w:kern w:val="0"/>
          <w:sz w:val="24"/>
        </w:rPr>
        <w:t>1、报名参加公开班的学员每人赠送《会计名家网络课程》1门；</w:t>
      </w:r>
    </w:p>
    <w:p w:rsidR="00F66565" w:rsidRDefault="004051F7">
      <w:pPr>
        <w:shd w:val="clear" w:color="auto" w:fill="FFFFFF"/>
        <w:spacing w:line="480" w:lineRule="exact"/>
        <w:ind w:firstLineChars="200" w:firstLine="480"/>
        <w:rPr>
          <w:rFonts w:ascii="宋体" w:hAnsi="宋体" w:cs="宋体"/>
          <w:kern w:val="0"/>
          <w:sz w:val="24"/>
        </w:rPr>
      </w:pPr>
      <w:r>
        <w:rPr>
          <w:rFonts w:ascii="宋体" w:hAnsi="宋体" w:cs="宋体" w:hint="eastAsia"/>
          <w:kern w:val="0"/>
          <w:sz w:val="24"/>
        </w:rPr>
        <w:t>2、《会计名家网络课程》集结</w:t>
      </w:r>
      <w:r>
        <w:rPr>
          <w:rFonts w:ascii="宋体" w:hAnsi="宋体" w:cs="宋体"/>
          <w:kern w:val="0"/>
          <w:sz w:val="24"/>
        </w:rPr>
        <w:t>了</w:t>
      </w:r>
      <w:r>
        <w:rPr>
          <w:rFonts w:ascii="宋体" w:hAnsi="宋体" w:cs="宋体" w:hint="eastAsia"/>
          <w:kern w:val="0"/>
          <w:sz w:val="24"/>
        </w:rPr>
        <w:t>财政部“会计</w:t>
      </w:r>
      <w:r>
        <w:rPr>
          <w:rFonts w:ascii="宋体" w:hAnsi="宋体" w:cs="宋体"/>
          <w:kern w:val="0"/>
          <w:sz w:val="24"/>
        </w:rPr>
        <w:t>名家培养工程</w:t>
      </w:r>
      <w:r>
        <w:rPr>
          <w:rFonts w:ascii="宋体" w:hAnsi="宋体" w:cs="宋体" w:hint="eastAsia"/>
          <w:kern w:val="0"/>
          <w:sz w:val="24"/>
        </w:rPr>
        <w:t>”30位</w:t>
      </w:r>
      <w:r>
        <w:rPr>
          <w:rFonts w:ascii="宋体" w:hAnsi="宋体" w:cs="宋体"/>
          <w:kern w:val="0"/>
          <w:sz w:val="24"/>
        </w:rPr>
        <w:t>知名教授</w:t>
      </w:r>
      <w:r>
        <w:rPr>
          <w:rFonts w:ascii="宋体" w:hAnsi="宋体" w:cs="宋体" w:hint="eastAsia"/>
          <w:kern w:val="0"/>
          <w:sz w:val="24"/>
        </w:rPr>
        <w:t>担任</w:t>
      </w:r>
      <w:r>
        <w:rPr>
          <w:rFonts w:ascii="宋体" w:hAnsi="宋体" w:cs="宋体"/>
          <w:kern w:val="0"/>
          <w:sz w:val="24"/>
        </w:rPr>
        <w:t>主讲人，</w:t>
      </w:r>
      <w:r>
        <w:rPr>
          <w:rFonts w:ascii="宋体" w:hAnsi="宋体" w:cs="宋体" w:hint="eastAsia"/>
          <w:kern w:val="0"/>
          <w:sz w:val="24"/>
        </w:rPr>
        <w:t>课程</w:t>
      </w:r>
      <w:r>
        <w:rPr>
          <w:rFonts w:ascii="宋体" w:hAnsi="宋体" w:cs="宋体"/>
          <w:kern w:val="0"/>
          <w:sz w:val="24"/>
        </w:rPr>
        <w:t>内容涵盖财务会计、管理会计、财务管理、审计内控、经营管理</w:t>
      </w:r>
      <w:r>
        <w:rPr>
          <w:rFonts w:ascii="宋体" w:hAnsi="宋体" w:cs="宋体" w:hint="eastAsia"/>
          <w:kern w:val="0"/>
          <w:sz w:val="24"/>
        </w:rPr>
        <w:t>等</w:t>
      </w:r>
      <w:r>
        <w:rPr>
          <w:rFonts w:ascii="宋体" w:hAnsi="宋体" w:cs="宋体"/>
          <w:kern w:val="0"/>
          <w:sz w:val="24"/>
        </w:rPr>
        <w:t>多个领域</w:t>
      </w:r>
      <w:r>
        <w:rPr>
          <w:rFonts w:ascii="宋体" w:hAnsi="宋体" w:cs="宋体" w:hint="eastAsia"/>
          <w:kern w:val="0"/>
          <w:sz w:val="24"/>
        </w:rPr>
        <w:t>，是老师们</w:t>
      </w:r>
      <w:r>
        <w:rPr>
          <w:rFonts w:ascii="宋体" w:hAnsi="宋体" w:cs="宋体"/>
          <w:kern w:val="0"/>
          <w:sz w:val="24"/>
        </w:rPr>
        <w:t>多年教学科研成果的精华提炼</w:t>
      </w:r>
      <w:r>
        <w:rPr>
          <w:rFonts w:ascii="宋体" w:hAnsi="宋体" w:cs="宋体" w:hint="eastAsia"/>
          <w:kern w:val="0"/>
          <w:sz w:val="24"/>
        </w:rPr>
        <w:t>。</w:t>
      </w:r>
    </w:p>
    <w:p w:rsidR="0045736B" w:rsidRPr="0018172F" w:rsidRDefault="0045736B" w:rsidP="0045736B">
      <w:pPr>
        <w:shd w:val="clear" w:color="auto" w:fill="FFFFFF"/>
        <w:spacing w:line="440" w:lineRule="exact"/>
        <w:ind w:firstLineChars="200" w:firstLine="482"/>
        <w:rPr>
          <w:rFonts w:asciiTheme="minorEastAsia" w:hAnsiTheme="minorEastAsia" w:cs="宋体"/>
          <w:b/>
          <w:sz w:val="24"/>
          <w:szCs w:val="24"/>
        </w:rPr>
      </w:pPr>
      <w:r>
        <w:rPr>
          <w:rFonts w:asciiTheme="minorEastAsia" w:hAnsiTheme="minorEastAsia" w:cs="宋体" w:hint="eastAsia"/>
          <w:b/>
          <w:sz w:val="24"/>
          <w:szCs w:val="24"/>
        </w:rPr>
        <w:t>九</w:t>
      </w:r>
      <w:r w:rsidRPr="0018172F">
        <w:rPr>
          <w:rFonts w:asciiTheme="minorEastAsia" w:hAnsiTheme="minorEastAsia" w:cs="宋体" w:hint="eastAsia"/>
          <w:b/>
          <w:sz w:val="24"/>
          <w:szCs w:val="24"/>
        </w:rPr>
        <w:t>、报名咨询</w:t>
      </w:r>
    </w:p>
    <w:p w:rsidR="00D455DE" w:rsidRDefault="00D455DE" w:rsidP="0045736B">
      <w:pPr>
        <w:shd w:val="clear" w:color="auto" w:fill="FFFFFF"/>
        <w:spacing w:line="44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李老师   0592-2578197</w:t>
      </w:r>
    </w:p>
    <w:p w:rsidR="0045736B" w:rsidRPr="0018172F" w:rsidRDefault="00D455DE" w:rsidP="0045736B">
      <w:pPr>
        <w:shd w:val="clear" w:color="auto" w:fill="FFFFFF"/>
        <w:spacing w:line="44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于老师</w:t>
      </w:r>
      <w:r w:rsidR="0045736B">
        <w:rPr>
          <w:rFonts w:asciiTheme="minorEastAsia" w:hAnsiTheme="minorEastAsia" w:cs="宋体" w:hint="eastAsia"/>
          <w:sz w:val="24"/>
          <w:szCs w:val="24"/>
        </w:rPr>
        <w:t xml:space="preserve">   13910280750（微信同步）</w:t>
      </w:r>
    </w:p>
    <w:p w:rsidR="00F66565" w:rsidRPr="00D455DE" w:rsidRDefault="004051F7" w:rsidP="00D455DE">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b/>
          <w:color w:val="000000"/>
          <w:sz w:val="36"/>
          <w:szCs w:val="36"/>
        </w:rPr>
        <w:t xml:space="preserve">                                                                                          </w:t>
      </w:r>
    </w:p>
    <w:p w:rsidR="00F66565" w:rsidRDefault="004051F7">
      <w:pPr>
        <w:spacing w:line="480" w:lineRule="exact"/>
        <w:jc w:val="center"/>
        <w:rPr>
          <w:rFonts w:ascii="宋体" w:hAnsi="宋体" w:cs="宋体"/>
          <w:b/>
          <w:color w:val="000000"/>
          <w:sz w:val="28"/>
          <w:szCs w:val="28"/>
        </w:rPr>
      </w:pPr>
      <w:r>
        <w:rPr>
          <w:rFonts w:ascii="宋体" w:hAnsi="宋体" w:cs="宋体" w:hint="eastAsia"/>
          <w:b/>
          <w:color w:val="000000"/>
          <w:sz w:val="36"/>
          <w:szCs w:val="36"/>
        </w:rPr>
        <w:t xml:space="preserve">                              </w:t>
      </w:r>
      <w:r>
        <w:rPr>
          <w:rFonts w:ascii="宋体" w:hAnsi="宋体" w:cs="宋体" w:hint="eastAsia"/>
          <w:b/>
          <w:color w:val="000000"/>
          <w:sz w:val="28"/>
          <w:szCs w:val="28"/>
        </w:rPr>
        <w:t>厦门国家会计学院</w:t>
      </w:r>
    </w:p>
    <w:p w:rsidR="00F66565" w:rsidRPr="00D455DE" w:rsidRDefault="004051F7" w:rsidP="00D455DE">
      <w:pPr>
        <w:spacing w:line="480" w:lineRule="exact"/>
        <w:ind w:firstLineChars="2200" w:firstLine="6184"/>
        <w:rPr>
          <w:rFonts w:ascii="宋体" w:hAnsi="宋体" w:cs="宋体"/>
          <w:b/>
          <w:color w:val="000000"/>
          <w:sz w:val="28"/>
          <w:szCs w:val="28"/>
        </w:rPr>
      </w:pPr>
      <w:r>
        <w:rPr>
          <w:rFonts w:ascii="宋体" w:hAnsi="宋体" w:cs="宋体" w:hint="eastAsia"/>
          <w:b/>
          <w:color w:val="000000"/>
          <w:sz w:val="28"/>
          <w:szCs w:val="28"/>
        </w:rPr>
        <w:t>2020年</w:t>
      </w:r>
      <w:r w:rsidR="00D455DE">
        <w:rPr>
          <w:rFonts w:ascii="宋体" w:hAnsi="宋体" w:cs="宋体" w:hint="eastAsia"/>
          <w:b/>
          <w:color w:val="000000"/>
          <w:sz w:val="28"/>
          <w:szCs w:val="28"/>
        </w:rPr>
        <w:t>11</w:t>
      </w:r>
      <w:r>
        <w:rPr>
          <w:rFonts w:ascii="宋体" w:hAnsi="宋体" w:cs="宋体" w:hint="eastAsia"/>
          <w:b/>
          <w:color w:val="000000"/>
          <w:sz w:val="28"/>
          <w:szCs w:val="28"/>
        </w:rPr>
        <w:t>月</w:t>
      </w:r>
    </w:p>
    <w:p w:rsidR="00D455DE" w:rsidRDefault="00D455DE">
      <w:pPr>
        <w:widowControl/>
        <w:spacing w:line="580" w:lineRule="exact"/>
        <w:ind w:firstLineChars="300" w:firstLine="843"/>
        <w:rPr>
          <w:rFonts w:ascii="宋体" w:hAnsi="宋体"/>
          <w:b/>
          <w:sz w:val="28"/>
          <w:szCs w:val="28"/>
        </w:rPr>
      </w:pPr>
    </w:p>
    <w:p w:rsidR="00F66565" w:rsidRDefault="004051F7">
      <w:pPr>
        <w:widowControl/>
        <w:spacing w:line="580" w:lineRule="exact"/>
        <w:ind w:firstLineChars="300" w:firstLine="843"/>
        <w:rPr>
          <w:rFonts w:ascii="宋体" w:hAnsi="宋体" w:cs="宋体"/>
          <w:b/>
          <w:color w:val="000000"/>
          <w:kern w:val="0"/>
          <w:sz w:val="28"/>
          <w:szCs w:val="28"/>
        </w:rPr>
      </w:pPr>
      <w:r>
        <w:rPr>
          <w:rFonts w:ascii="宋体" w:hAnsi="宋体" w:hint="eastAsia"/>
          <w:b/>
          <w:sz w:val="28"/>
          <w:szCs w:val="28"/>
        </w:rPr>
        <w:lastRenderedPageBreak/>
        <w:t>企业内部控制与风险管理实践高级培训班</w:t>
      </w:r>
      <w:r>
        <w:rPr>
          <w:rFonts w:ascii="宋体" w:hAnsi="宋体" w:cs="宋体" w:hint="eastAsia"/>
          <w:b/>
          <w:kern w:val="0"/>
          <w:sz w:val="28"/>
          <w:szCs w:val="28"/>
        </w:rPr>
        <w:t>报名回执表</w:t>
      </w:r>
    </w:p>
    <w:tbl>
      <w:tblPr>
        <w:tblW w:w="9758" w:type="dxa"/>
        <w:jc w:val="center"/>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453"/>
        <w:gridCol w:w="878"/>
        <w:gridCol w:w="1117"/>
        <w:gridCol w:w="1338"/>
        <w:gridCol w:w="1558"/>
        <w:gridCol w:w="1846"/>
        <w:gridCol w:w="1568"/>
      </w:tblGrid>
      <w:tr w:rsidR="00F66565">
        <w:trPr>
          <w:trHeight w:hRule="exact" w:val="531"/>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4051F7">
            <w:pPr>
              <w:spacing w:line="420" w:lineRule="exact"/>
              <w:jc w:val="center"/>
              <w:rPr>
                <w:rFonts w:ascii="宋体" w:hAnsi="宋体" w:cs="宋体"/>
                <w:color w:val="000000"/>
                <w:sz w:val="24"/>
              </w:rPr>
            </w:pPr>
            <w:r>
              <w:rPr>
                <w:rFonts w:ascii="宋体" w:hAnsi="宋体" w:cs="宋体" w:hint="eastAsia"/>
                <w:color w:val="000000"/>
                <w:sz w:val="24"/>
              </w:rPr>
              <w:t>单位名称</w:t>
            </w:r>
          </w:p>
        </w:tc>
        <w:tc>
          <w:tcPr>
            <w:tcW w:w="8305" w:type="dxa"/>
            <w:gridSpan w:val="6"/>
            <w:tcBorders>
              <w:top w:val="single" w:sz="4" w:space="0" w:color="auto"/>
              <w:left w:val="single" w:sz="4" w:space="0" w:color="auto"/>
              <w:bottom w:val="single" w:sz="4" w:space="0" w:color="auto"/>
              <w:right w:val="single" w:sz="4" w:space="0" w:color="auto"/>
            </w:tcBorders>
            <w:vAlign w:val="center"/>
          </w:tcPr>
          <w:p w:rsidR="00F66565" w:rsidRDefault="004051F7">
            <w:pPr>
              <w:spacing w:line="420" w:lineRule="exact"/>
              <w:jc w:val="center"/>
              <w:rPr>
                <w:rFonts w:ascii="宋体" w:hAnsi="宋体" w:cs="宋体"/>
                <w:color w:val="000000"/>
                <w:sz w:val="24"/>
              </w:rPr>
            </w:pPr>
            <w:r>
              <w:rPr>
                <w:rFonts w:ascii="宋体" w:hAnsi="宋体" w:cs="宋体" w:hint="eastAsia"/>
                <w:color w:val="000000"/>
                <w:sz w:val="24"/>
              </w:rPr>
              <w:t xml:space="preserve">      </w:t>
            </w:r>
          </w:p>
        </w:tc>
      </w:tr>
      <w:tr w:rsidR="00F66565">
        <w:trPr>
          <w:trHeight w:hRule="exact" w:val="439"/>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jc w:val="center"/>
              <w:rPr>
                <w:rFonts w:ascii="宋体" w:hAnsi="宋体" w:cs="宋体"/>
                <w:color w:val="000000"/>
                <w:sz w:val="24"/>
              </w:rPr>
            </w:pPr>
            <w:r>
              <w:rPr>
                <w:rFonts w:ascii="宋体" w:hAnsi="宋体" w:cs="宋体" w:hint="eastAsia"/>
                <w:color w:val="000000"/>
                <w:sz w:val="24"/>
              </w:rPr>
              <w:t>学员姓名</w:t>
            </w: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jc w:val="center"/>
              <w:rPr>
                <w:rFonts w:ascii="宋体" w:hAnsi="宋体" w:cs="宋体"/>
                <w:color w:val="000000"/>
                <w:sz w:val="24"/>
              </w:rPr>
            </w:pPr>
            <w:r>
              <w:rPr>
                <w:rFonts w:ascii="宋体" w:hAnsi="宋体" w:cs="宋体" w:hint="eastAsia"/>
                <w:color w:val="000000"/>
                <w:sz w:val="24"/>
              </w:rPr>
              <w:t>性别</w:t>
            </w: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jc w:val="center"/>
              <w:rPr>
                <w:rFonts w:ascii="宋体" w:hAnsi="宋体" w:cs="宋体"/>
                <w:color w:val="000000"/>
                <w:sz w:val="24"/>
              </w:rPr>
            </w:pPr>
            <w:r>
              <w:rPr>
                <w:rFonts w:ascii="宋体" w:hAnsi="宋体" w:cs="宋体" w:hint="eastAsia"/>
                <w:color w:val="000000"/>
                <w:sz w:val="24"/>
              </w:rPr>
              <w:t>职 务</w:t>
            </w: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ind w:firstLineChars="100" w:firstLine="240"/>
              <w:jc w:val="center"/>
              <w:rPr>
                <w:rFonts w:ascii="宋体" w:hAnsi="宋体" w:cs="宋体"/>
                <w:color w:val="000000"/>
                <w:sz w:val="24"/>
              </w:rPr>
            </w:pPr>
            <w:r>
              <w:rPr>
                <w:rFonts w:ascii="宋体" w:hAnsi="宋体" w:cs="宋体" w:hint="eastAsia"/>
                <w:color w:val="000000"/>
                <w:sz w:val="24"/>
              </w:rPr>
              <w:t>电 话</w:t>
            </w: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ind w:firstLineChars="100" w:firstLine="240"/>
              <w:jc w:val="center"/>
              <w:rPr>
                <w:rFonts w:ascii="宋体" w:hAnsi="宋体" w:cs="宋体"/>
                <w:color w:val="000000"/>
                <w:sz w:val="24"/>
              </w:rPr>
            </w:pPr>
            <w:r>
              <w:rPr>
                <w:rFonts w:ascii="宋体" w:hAnsi="宋体" w:cs="宋体" w:hint="eastAsia"/>
                <w:color w:val="000000"/>
                <w:sz w:val="24"/>
              </w:rPr>
              <w:t>传 真</w:t>
            </w: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ind w:firstLineChars="200" w:firstLine="480"/>
              <w:rPr>
                <w:rFonts w:ascii="宋体" w:hAnsi="宋体" w:cs="宋体"/>
                <w:color w:val="000000"/>
                <w:sz w:val="24"/>
              </w:rPr>
            </w:pPr>
            <w:r>
              <w:rPr>
                <w:rFonts w:ascii="宋体" w:hAnsi="宋体" w:cs="宋体" w:hint="eastAsia"/>
                <w:color w:val="000000"/>
                <w:sz w:val="24"/>
              </w:rPr>
              <w:t>手  机</w:t>
            </w: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4051F7">
            <w:pPr>
              <w:tabs>
                <w:tab w:val="left" w:pos="360"/>
                <w:tab w:val="left" w:pos="540"/>
              </w:tabs>
              <w:spacing w:line="420" w:lineRule="exact"/>
              <w:jc w:val="center"/>
              <w:rPr>
                <w:rFonts w:ascii="宋体" w:hAnsi="宋体" w:cs="宋体"/>
                <w:color w:val="000000"/>
                <w:sz w:val="24"/>
              </w:rPr>
            </w:pPr>
            <w:r>
              <w:rPr>
                <w:rFonts w:ascii="宋体" w:hAnsi="宋体" w:cs="宋体" w:hint="eastAsia"/>
                <w:color w:val="000000"/>
                <w:sz w:val="24"/>
              </w:rPr>
              <w:t>电子信箱</w:t>
            </w:r>
          </w:p>
        </w:tc>
      </w:tr>
      <w:tr w:rsidR="00F66565">
        <w:trPr>
          <w:trHeight w:hRule="exact" w:val="550"/>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hRule="exact" w:val="552"/>
          <w:jc w:val="center"/>
        </w:trPr>
        <w:tc>
          <w:tcPr>
            <w:tcW w:w="1453"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rPr>
                <w:rFonts w:ascii="宋体" w:hAnsi="宋体" w:cs="宋体"/>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vAlign w:val="center"/>
          </w:tcPr>
          <w:p w:rsidR="00F66565" w:rsidRDefault="00F66565">
            <w:pPr>
              <w:tabs>
                <w:tab w:val="left" w:pos="360"/>
                <w:tab w:val="left" w:pos="540"/>
              </w:tabs>
              <w:spacing w:line="420" w:lineRule="exact"/>
              <w:ind w:firstLineChars="200" w:firstLine="560"/>
              <w:jc w:val="center"/>
              <w:rPr>
                <w:rFonts w:ascii="宋体" w:hAnsi="宋体" w:cs="宋体"/>
                <w:color w:val="000000"/>
                <w:sz w:val="28"/>
                <w:szCs w:val="28"/>
              </w:rPr>
            </w:pPr>
          </w:p>
        </w:tc>
      </w:tr>
      <w:tr w:rsidR="00F66565">
        <w:trPr>
          <w:trHeight w:val="1995"/>
          <w:jc w:val="center"/>
        </w:trPr>
        <w:tc>
          <w:tcPr>
            <w:tcW w:w="9758" w:type="dxa"/>
            <w:gridSpan w:val="7"/>
            <w:tcBorders>
              <w:top w:val="single" w:sz="4" w:space="0" w:color="auto"/>
              <w:left w:val="single" w:sz="4" w:space="0" w:color="auto"/>
              <w:bottom w:val="single" w:sz="4" w:space="0" w:color="auto"/>
              <w:right w:val="single" w:sz="4" w:space="0" w:color="auto"/>
            </w:tcBorders>
            <w:vAlign w:val="center"/>
          </w:tcPr>
          <w:p w:rsidR="00F66565" w:rsidRDefault="004051F7">
            <w:pPr>
              <w:spacing w:line="460" w:lineRule="exact"/>
              <w:rPr>
                <w:rFonts w:ascii="宋体" w:hAnsi="宋体" w:cs="宋体"/>
                <w:b/>
                <w:color w:val="000000"/>
                <w:sz w:val="24"/>
              </w:rPr>
            </w:pPr>
            <w:r>
              <w:rPr>
                <w:rFonts w:ascii="宋体" w:hAnsi="宋体" w:cs="宋体" w:hint="eastAsia"/>
                <w:b/>
                <w:color w:val="000000"/>
                <w:sz w:val="24"/>
              </w:rPr>
              <w:t>报名程序：</w:t>
            </w:r>
          </w:p>
          <w:p w:rsidR="00F66565" w:rsidRDefault="004051F7">
            <w:pPr>
              <w:spacing w:line="460" w:lineRule="exact"/>
              <w:rPr>
                <w:rFonts w:ascii="宋体" w:hAnsi="宋体" w:cs="宋体"/>
                <w:b/>
                <w:color w:val="000000"/>
                <w:sz w:val="24"/>
              </w:rPr>
            </w:pPr>
            <w:r>
              <w:rPr>
                <w:rFonts w:ascii="宋体" w:hAnsi="宋体" w:cs="宋体" w:hint="eastAsia"/>
                <w:color w:val="000000"/>
                <w:sz w:val="24"/>
              </w:rPr>
              <w:t>请将报名回执表填写完整后发送至85463535@qq.com</w:t>
            </w:r>
          </w:p>
          <w:p w:rsidR="00186E11" w:rsidRDefault="004051F7" w:rsidP="00186E11">
            <w:pPr>
              <w:shd w:val="clear" w:color="auto" w:fill="FFFFFF"/>
              <w:spacing w:line="440" w:lineRule="exact"/>
              <w:rPr>
                <w:rFonts w:asciiTheme="minorEastAsia" w:hAnsiTheme="minorEastAsia" w:cs="宋体"/>
                <w:sz w:val="24"/>
                <w:szCs w:val="24"/>
              </w:rPr>
            </w:pPr>
            <w:r>
              <w:rPr>
                <w:rFonts w:ascii="宋体" w:hAnsi="宋体" w:cs="宋体" w:hint="eastAsia"/>
                <w:color w:val="000000"/>
                <w:sz w:val="24"/>
              </w:rPr>
              <w:t>联系人：</w:t>
            </w:r>
            <w:r w:rsidR="00186E11">
              <w:rPr>
                <w:rFonts w:asciiTheme="minorEastAsia" w:hAnsiTheme="minorEastAsia" w:cs="宋体" w:hint="eastAsia"/>
                <w:sz w:val="24"/>
                <w:szCs w:val="24"/>
              </w:rPr>
              <w:t>李老师   0592-2578197</w:t>
            </w:r>
          </w:p>
          <w:p w:rsidR="00F66565" w:rsidRDefault="004051F7" w:rsidP="00186E11">
            <w:pPr>
              <w:adjustRightInd w:val="0"/>
              <w:snapToGrid w:val="0"/>
              <w:spacing w:line="400" w:lineRule="exact"/>
              <w:ind w:firstLineChars="400" w:firstLine="960"/>
              <w:rPr>
                <w:rFonts w:ascii="宋体" w:hAnsi="宋体" w:cs="宋体"/>
                <w:color w:val="000000"/>
                <w:sz w:val="24"/>
              </w:rPr>
            </w:pPr>
            <w:r>
              <w:rPr>
                <w:rFonts w:ascii="宋体" w:hAnsi="宋体" w:cs="宋体" w:hint="eastAsia"/>
                <w:color w:val="000000"/>
                <w:sz w:val="24"/>
              </w:rPr>
              <w:t>于</w:t>
            </w:r>
            <w:r w:rsidR="00FE6713">
              <w:rPr>
                <w:rFonts w:ascii="宋体" w:hAnsi="宋体" w:cs="宋体" w:hint="eastAsia"/>
                <w:color w:val="000000"/>
                <w:sz w:val="24"/>
              </w:rPr>
              <w:t>老师</w:t>
            </w:r>
            <w:bookmarkStart w:id="0" w:name="_GoBack"/>
            <w:bookmarkEnd w:id="0"/>
            <w:r w:rsidR="00186E11">
              <w:rPr>
                <w:rFonts w:ascii="宋体" w:hAnsi="宋体" w:cs="宋体" w:hint="eastAsia"/>
                <w:color w:val="000000"/>
                <w:sz w:val="24"/>
              </w:rPr>
              <w:t xml:space="preserve">   </w:t>
            </w:r>
            <w:r>
              <w:rPr>
                <w:rFonts w:ascii="宋体" w:hAnsi="宋体" w:cs="宋体" w:hint="eastAsia"/>
                <w:color w:val="000000"/>
                <w:sz w:val="24"/>
              </w:rPr>
              <w:t xml:space="preserve">手机（微信同步）：13910280750 </w:t>
            </w:r>
          </w:p>
          <w:p w:rsidR="00F66565" w:rsidRDefault="004051F7">
            <w:pPr>
              <w:adjustRightInd w:val="0"/>
              <w:snapToGrid w:val="0"/>
              <w:spacing w:line="400" w:lineRule="exact"/>
              <w:rPr>
                <w:rFonts w:ascii="宋体" w:hAnsi="宋体" w:cs="宋体"/>
                <w:color w:val="000000"/>
                <w:sz w:val="28"/>
                <w:szCs w:val="28"/>
              </w:rPr>
            </w:pPr>
            <w:r>
              <w:rPr>
                <w:rFonts w:ascii="宋体" w:hAnsi="宋体" w:cs="宋体" w:hint="eastAsia"/>
                <w:color w:val="000000"/>
                <w:sz w:val="24"/>
              </w:rPr>
              <w:t>备注：学院谢绝学员携带家属和小孩，谢谢！</w:t>
            </w:r>
          </w:p>
        </w:tc>
      </w:tr>
    </w:tbl>
    <w:p w:rsidR="00F66565" w:rsidRDefault="00F66565">
      <w:pPr>
        <w:widowControl/>
        <w:shd w:val="clear" w:color="auto" w:fill="FFFFFF"/>
        <w:spacing w:line="440" w:lineRule="exact"/>
        <w:jc w:val="left"/>
        <w:rPr>
          <w:rFonts w:ascii="宋体" w:hAnsi="宋体" w:cs="宋体"/>
          <w:bCs/>
          <w:kern w:val="0"/>
          <w:sz w:val="24"/>
        </w:rPr>
      </w:pPr>
    </w:p>
    <w:p w:rsidR="00F66565" w:rsidRDefault="00F66565"/>
    <w:sectPr w:rsidR="00F66565" w:rsidSect="00F66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21" w:rsidRDefault="00626A21" w:rsidP="006924F8">
      <w:r>
        <w:separator/>
      </w:r>
    </w:p>
  </w:endnote>
  <w:endnote w:type="continuationSeparator" w:id="0">
    <w:p w:rsidR="00626A21" w:rsidRDefault="00626A21" w:rsidP="0069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21" w:rsidRDefault="00626A21" w:rsidP="006924F8">
      <w:r>
        <w:separator/>
      </w:r>
    </w:p>
  </w:footnote>
  <w:footnote w:type="continuationSeparator" w:id="0">
    <w:p w:rsidR="00626A21" w:rsidRDefault="00626A21" w:rsidP="00692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8"/>
    <w:rsid w:val="000042C7"/>
    <w:rsid w:val="00032F5F"/>
    <w:rsid w:val="00051E4A"/>
    <w:rsid w:val="00083938"/>
    <w:rsid w:val="000B6834"/>
    <w:rsid w:val="0010528A"/>
    <w:rsid w:val="00135E46"/>
    <w:rsid w:val="00154BEB"/>
    <w:rsid w:val="00156EF2"/>
    <w:rsid w:val="00185BD3"/>
    <w:rsid w:val="00186E11"/>
    <w:rsid w:val="001B1E45"/>
    <w:rsid w:val="001B6E10"/>
    <w:rsid w:val="001C7472"/>
    <w:rsid w:val="001D77AE"/>
    <w:rsid w:val="00224FC9"/>
    <w:rsid w:val="0028146E"/>
    <w:rsid w:val="00281722"/>
    <w:rsid w:val="002B694F"/>
    <w:rsid w:val="002D063E"/>
    <w:rsid w:val="002D07F9"/>
    <w:rsid w:val="002D67BA"/>
    <w:rsid w:val="002E0F82"/>
    <w:rsid w:val="002F25F7"/>
    <w:rsid w:val="00330318"/>
    <w:rsid w:val="003855D3"/>
    <w:rsid w:val="00393B68"/>
    <w:rsid w:val="00396627"/>
    <w:rsid w:val="003A2336"/>
    <w:rsid w:val="003A56A5"/>
    <w:rsid w:val="003E4BF2"/>
    <w:rsid w:val="003F701F"/>
    <w:rsid w:val="004051F7"/>
    <w:rsid w:val="0045736B"/>
    <w:rsid w:val="004725BF"/>
    <w:rsid w:val="004842D1"/>
    <w:rsid w:val="004B0AC6"/>
    <w:rsid w:val="0053048F"/>
    <w:rsid w:val="00530691"/>
    <w:rsid w:val="0056062D"/>
    <w:rsid w:val="00597F76"/>
    <w:rsid w:val="005B5DFB"/>
    <w:rsid w:val="0062048F"/>
    <w:rsid w:val="00626A21"/>
    <w:rsid w:val="006924F8"/>
    <w:rsid w:val="006E5EF0"/>
    <w:rsid w:val="00734FF2"/>
    <w:rsid w:val="007E35D9"/>
    <w:rsid w:val="008841DB"/>
    <w:rsid w:val="008D690B"/>
    <w:rsid w:val="008F197C"/>
    <w:rsid w:val="008F5C59"/>
    <w:rsid w:val="009142F6"/>
    <w:rsid w:val="009B348A"/>
    <w:rsid w:val="00A419D6"/>
    <w:rsid w:val="00AE5B49"/>
    <w:rsid w:val="00B73037"/>
    <w:rsid w:val="00BA7DB7"/>
    <w:rsid w:val="00BC4802"/>
    <w:rsid w:val="00C46602"/>
    <w:rsid w:val="00C47151"/>
    <w:rsid w:val="00C823E3"/>
    <w:rsid w:val="00D43414"/>
    <w:rsid w:val="00D455DE"/>
    <w:rsid w:val="00DB72D6"/>
    <w:rsid w:val="00DC00F6"/>
    <w:rsid w:val="00E101C2"/>
    <w:rsid w:val="00E41062"/>
    <w:rsid w:val="00E821EB"/>
    <w:rsid w:val="00EA2AFA"/>
    <w:rsid w:val="00EC3037"/>
    <w:rsid w:val="00F51827"/>
    <w:rsid w:val="00F5617F"/>
    <w:rsid w:val="00F66565"/>
    <w:rsid w:val="00F7523D"/>
    <w:rsid w:val="00FE6713"/>
    <w:rsid w:val="19446356"/>
    <w:rsid w:val="5A212FDA"/>
    <w:rsid w:val="7566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839B92E-80A6-4BAE-9ED2-DD52E940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6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66565"/>
    <w:rPr>
      <w:sz w:val="18"/>
      <w:szCs w:val="18"/>
    </w:rPr>
  </w:style>
  <w:style w:type="paragraph" w:styleId="a4">
    <w:name w:val="footer"/>
    <w:basedOn w:val="a"/>
    <w:link w:val="Char0"/>
    <w:uiPriority w:val="99"/>
    <w:unhideWhenUsed/>
    <w:qFormat/>
    <w:rsid w:val="00F66565"/>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F66565"/>
    <w:pPr>
      <w:pBdr>
        <w:bottom w:val="single" w:sz="6" w:space="1" w:color="auto"/>
      </w:pBdr>
      <w:tabs>
        <w:tab w:val="center" w:pos="4153"/>
        <w:tab w:val="right" w:pos="8306"/>
      </w:tabs>
      <w:snapToGrid w:val="0"/>
      <w:jc w:val="center"/>
    </w:pPr>
    <w:rPr>
      <w:kern w:val="0"/>
      <w:sz w:val="18"/>
      <w:szCs w:val="18"/>
    </w:rPr>
  </w:style>
  <w:style w:type="paragraph" w:styleId="a6">
    <w:name w:val="Subtitle"/>
    <w:basedOn w:val="a"/>
    <w:next w:val="a"/>
    <w:link w:val="Char2"/>
    <w:uiPriority w:val="11"/>
    <w:qFormat/>
    <w:rsid w:val="00F66565"/>
    <w:pPr>
      <w:spacing w:before="240" w:after="60" w:line="312" w:lineRule="auto"/>
      <w:jc w:val="center"/>
      <w:outlineLvl w:val="1"/>
    </w:pPr>
    <w:rPr>
      <w:rFonts w:ascii="Cambria" w:hAnsi="Cambria"/>
      <w:b/>
      <w:bCs/>
      <w:kern w:val="28"/>
      <w:sz w:val="32"/>
      <w:szCs w:val="32"/>
    </w:rPr>
  </w:style>
  <w:style w:type="table" w:styleId="a7">
    <w:name w:val="Table Grid"/>
    <w:basedOn w:val="a1"/>
    <w:qFormat/>
    <w:rsid w:val="00F6656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F66565"/>
    <w:rPr>
      <w:i/>
    </w:rPr>
  </w:style>
  <w:style w:type="character" w:styleId="a9">
    <w:name w:val="Hyperlink"/>
    <w:basedOn w:val="a0"/>
    <w:uiPriority w:val="99"/>
    <w:unhideWhenUsed/>
    <w:qFormat/>
    <w:rsid w:val="00F66565"/>
    <w:rPr>
      <w:color w:val="0000FF"/>
      <w:u w:val="single"/>
    </w:rPr>
  </w:style>
  <w:style w:type="character" w:customStyle="1" w:styleId="Char1">
    <w:name w:val="页眉 Char"/>
    <w:basedOn w:val="a0"/>
    <w:link w:val="a5"/>
    <w:uiPriority w:val="99"/>
    <w:qFormat/>
    <w:rsid w:val="00F66565"/>
    <w:rPr>
      <w:sz w:val="18"/>
      <w:szCs w:val="18"/>
    </w:rPr>
  </w:style>
  <w:style w:type="character" w:customStyle="1" w:styleId="Char0">
    <w:name w:val="页脚 Char"/>
    <w:basedOn w:val="a0"/>
    <w:link w:val="a4"/>
    <w:uiPriority w:val="99"/>
    <w:qFormat/>
    <w:rsid w:val="00F66565"/>
    <w:rPr>
      <w:sz w:val="18"/>
      <w:szCs w:val="18"/>
    </w:rPr>
  </w:style>
  <w:style w:type="character" w:customStyle="1" w:styleId="Char">
    <w:name w:val="批注框文本 Char"/>
    <w:basedOn w:val="a0"/>
    <w:link w:val="a3"/>
    <w:uiPriority w:val="99"/>
    <w:qFormat/>
    <w:rsid w:val="00F66565"/>
    <w:rPr>
      <w:rFonts w:ascii="Times New Roman" w:eastAsia="宋体" w:hAnsi="Times New Roman" w:cs="Times New Roman"/>
      <w:kern w:val="2"/>
      <w:sz w:val="18"/>
      <w:szCs w:val="18"/>
    </w:rPr>
  </w:style>
  <w:style w:type="paragraph" w:styleId="aa">
    <w:name w:val="List Paragraph"/>
    <w:basedOn w:val="a"/>
    <w:uiPriority w:val="34"/>
    <w:qFormat/>
    <w:rsid w:val="00F66565"/>
    <w:pPr>
      <w:ind w:firstLineChars="200" w:firstLine="420"/>
    </w:pPr>
    <w:rPr>
      <w:szCs w:val="24"/>
    </w:rPr>
  </w:style>
  <w:style w:type="paragraph" w:customStyle="1" w:styleId="1">
    <w:name w:val="列出段落1"/>
    <w:basedOn w:val="a"/>
    <w:uiPriority w:val="34"/>
    <w:qFormat/>
    <w:rsid w:val="00F66565"/>
    <w:pPr>
      <w:ind w:firstLineChars="200" w:firstLine="420"/>
    </w:pPr>
    <w:rPr>
      <w:rFonts w:asciiTheme="minorHAnsi" w:eastAsiaTheme="minorEastAsia" w:hAnsiTheme="minorHAnsi"/>
      <w:szCs w:val="22"/>
    </w:rPr>
  </w:style>
  <w:style w:type="character" w:customStyle="1" w:styleId="Char2">
    <w:name w:val="副标题 Char"/>
    <w:basedOn w:val="a0"/>
    <w:link w:val="a6"/>
    <w:uiPriority w:val="11"/>
    <w:qFormat/>
    <w:rsid w:val="00F66565"/>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DAA23-DC92-4C6D-ACDE-3E90691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于济铭</dc:creator>
  <cp:lastModifiedBy>微软用户</cp:lastModifiedBy>
  <cp:revision>4</cp:revision>
  <dcterms:created xsi:type="dcterms:W3CDTF">2020-11-11T08:57:00Z</dcterms:created>
  <dcterms:modified xsi:type="dcterms:W3CDTF">2020-11-11T08:58:00Z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