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63C" w:rsidRPr="00416FE8" w:rsidRDefault="00E66DBF" w:rsidP="00416FE8">
      <w:pPr>
        <w:widowControl/>
        <w:spacing w:line="480" w:lineRule="auto"/>
        <w:jc w:val="center"/>
        <w:rPr>
          <w:rFonts w:ascii="宋体" w:cs="宋体"/>
          <w:b/>
          <w:color w:val="FF0000"/>
          <w:spacing w:val="120"/>
          <w:kern w:val="0"/>
          <w:sz w:val="68"/>
          <w:szCs w:val="84"/>
        </w:rPr>
      </w:pPr>
      <w:r>
        <w:rPr>
          <w:noProof/>
        </w:rPr>
        <w:pict>
          <v:line id="Line 2" o:spid="_x0000_s1026" style="position:absolute;left:0;text-align:left;z-index:1" from="0,54.6pt" to="428.25pt,54.6pt" strokecolor="red" strokeweight="2pt"/>
        </w:pict>
      </w:r>
      <w:r w:rsidR="00A4463C">
        <w:rPr>
          <w:rFonts w:ascii="宋体" w:hAnsi="宋体" w:cs="宋体" w:hint="eastAsia"/>
          <w:color w:val="FF0000"/>
          <w:sz w:val="78"/>
          <w:szCs w:val="72"/>
        </w:rPr>
        <w:t>厦门国家会计学院</w:t>
      </w:r>
    </w:p>
    <w:p w:rsidR="00A4463C" w:rsidRDefault="00A4463C" w:rsidP="00AF7824">
      <w:pPr>
        <w:widowControl/>
        <w:spacing w:line="500" w:lineRule="exact"/>
        <w:ind w:firstLineChars="200" w:firstLine="602"/>
        <w:rPr>
          <w:rFonts w:ascii="宋体" w:cs="宋体"/>
          <w:b/>
          <w:bCs/>
          <w:color w:val="000000"/>
          <w:kern w:val="0"/>
          <w:sz w:val="30"/>
          <w:szCs w:val="30"/>
        </w:rPr>
      </w:pPr>
      <w:r>
        <w:rPr>
          <w:rFonts w:ascii="宋体" w:hAnsi="宋体" w:cs="宋体" w:hint="eastAsia"/>
          <w:b/>
          <w:bCs/>
          <w:color w:val="000000"/>
          <w:kern w:val="0"/>
          <w:sz w:val="30"/>
          <w:szCs w:val="30"/>
        </w:rPr>
        <w:t>关于举办“政府综合财务报告编制专题培训班”的通知</w:t>
      </w:r>
    </w:p>
    <w:p w:rsidR="00A4463C" w:rsidRDefault="00A4463C" w:rsidP="001F4F1D">
      <w:pPr>
        <w:widowControl/>
        <w:shd w:val="clear" w:color="auto" w:fill="FFFFFF"/>
        <w:spacing w:line="500" w:lineRule="exact"/>
        <w:jc w:val="left"/>
        <w:rPr>
          <w:rFonts w:ascii="宋体" w:cs="宋体"/>
          <w:b/>
          <w:bCs/>
          <w:kern w:val="0"/>
          <w:sz w:val="28"/>
          <w:szCs w:val="28"/>
        </w:rPr>
      </w:pPr>
      <w:r>
        <w:rPr>
          <w:rFonts w:ascii="宋体" w:hAnsi="宋体" w:cs="宋体" w:hint="eastAsia"/>
          <w:b/>
          <w:bCs/>
          <w:kern w:val="0"/>
          <w:sz w:val="28"/>
          <w:szCs w:val="28"/>
        </w:rPr>
        <w:t>各有关单位：</w:t>
      </w:r>
    </w:p>
    <w:p w:rsidR="00A4463C" w:rsidRPr="00843D2F" w:rsidRDefault="00A4463C" w:rsidP="00AF7824">
      <w:pPr>
        <w:widowControl/>
        <w:shd w:val="clear" w:color="auto" w:fill="FFFFFF"/>
        <w:snapToGrid w:val="0"/>
        <w:spacing w:line="460" w:lineRule="exact"/>
        <w:ind w:leftChars="50" w:left="105" w:firstLineChars="200" w:firstLine="560"/>
        <w:jc w:val="left"/>
        <w:rPr>
          <w:rFonts w:ascii="宋体" w:cs="宋体"/>
          <w:color w:val="000000"/>
          <w:kern w:val="0"/>
          <w:sz w:val="28"/>
          <w:szCs w:val="28"/>
        </w:rPr>
      </w:pPr>
      <w:r w:rsidRPr="00843D2F">
        <w:rPr>
          <w:rFonts w:ascii="宋体" w:hAnsi="宋体" w:cs="宋体" w:hint="eastAsia"/>
          <w:color w:val="000000"/>
          <w:kern w:val="0"/>
          <w:sz w:val="28"/>
          <w:szCs w:val="28"/>
        </w:rPr>
        <w:t>为了加快推进政府会计改革，构建统一、科学、规范的政府会计标准体系和权责发生制政府综合财务报告制度，</w:t>
      </w:r>
      <w:r w:rsidRPr="00843D2F">
        <w:rPr>
          <w:rFonts w:ascii="宋体" w:hAnsi="宋体" w:cs="宋体"/>
          <w:color w:val="000000"/>
          <w:kern w:val="0"/>
          <w:sz w:val="28"/>
          <w:szCs w:val="28"/>
        </w:rPr>
        <w:t>2015</w:t>
      </w:r>
      <w:r w:rsidRPr="00843D2F">
        <w:rPr>
          <w:rFonts w:ascii="宋体" w:hAnsi="宋体" w:cs="宋体" w:hint="eastAsia"/>
          <w:color w:val="000000"/>
          <w:kern w:val="0"/>
          <w:sz w:val="28"/>
          <w:szCs w:val="28"/>
        </w:rPr>
        <w:t>年</w:t>
      </w:r>
      <w:r w:rsidRPr="00843D2F">
        <w:rPr>
          <w:rFonts w:ascii="宋体" w:hAnsi="宋体" w:cs="宋体"/>
          <w:color w:val="000000"/>
          <w:kern w:val="0"/>
          <w:sz w:val="28"/>
          <w:szCs w:val="28"/>
        </w:rPr>
        <w:t>10</w:t>
      </w:r>
      <w:r w:rsidRPr="00843D2F">
        <w:rPr>
          <w:rFonts w:ascii="宋体" w:hAnsi="宋体" w:cs="宋体" w:hint="eastAsia"/>
          <w:color w:val="000000"/>
          <w:kern w:val="0"/>
          <w:sz w:val="28"/>
          <w:szCs w:val="28"/>
        </w:rPr>
        <w:t>月</w:t>
      </w:r>
      <w:r w:rsidRPr="00843D2F">
        <w:rPr>
          <w:rFonts w:ascii="宋体" w:hAnsi="宋体" w:cs="宋体"/>
          <w:color w:val="000000"/>
          <w:kern w:val="0"/>
          <w:sz w:val="28"/>
          <w:szCs w:val="28"/>
        </w:rPr>
        <w:t>23</w:t>
      </w:r>
      <w:r w:rsidRPr="00843D2F">
        <w:rPr>
          <w:rFonts w:ascii="宋体" w:hAnsi="宋体" w:cs="宋体" w:hint="eastAsia"/>
          <w:color w:val="000000"/>
          <w:kern w:val="0"/>
          <w:sz w:val="28"/>
          <w:szCs w:val="28"/>
        </w:rPr>
        <w:t>日，楼继伟部长签署财政部令第</w:t>
      </w:r>
      <w:r w:rsidRPr="00843D2F">
        <w:rPr>
          <w:rFonts w:ascii="宋体" w:hAnsi="宋体" w:cs="宋体"/>
          <w:color w:val="000000"/>
          <w:kern w:val="0"/>
          <w:sz w:val="28"/>
          <w:szCs w:val="28"/>
        </w:rPr>
        <w:t>78</w:t>
      </w:r>
      <w:r>
        <w:rPr>
          <w:rFonts w:ascii="宋体" w:hAnsi="宋体" w:cs="宋体" w:hint="eastAsia"/>
          <w:color w:val="000000"/>
          <w:kern w:val="0"/>
          <w:sz w:val="28"/>
          <w:szCs w:val="28"/>
        </w:rPr>
        <w:t>号公布《政府会计准则</w:t>
      </w:r>
      <w:r>
        <w:rPr>
          <w:rFonts w:ascii="宋体" w:hAnsi="宋体" w:cs="宋体"/>
          <w:color w:val="000000"/>
          <w:kern w:val="0"/>
          <w:sz w:val="28"/>
          <w:szCs w:val="28"/>
        </w:rPr>
        <w:t>——</w:t>
      </w:r>
      <w:r>
        <w:rPr>
          <w:rFonts w:ascii="宋体" w:hAnsi="宋体" w:cs="宋体" w:hint="eastAsia"/>
          <w:color w:val="000000"/>
          <w:kern w:val="0"/>
          <w:sz w:val="28"/>
          <w:szCs w:val="28"/>
        </w:rPr>
        <w:t>基本准则》</w:t>
      </w:r>
      <w:r w:rsidRPr="00843D2F">
        <w:rPr>
          <w:rFonts w:ascii="宋体" w:hAnsi="宋体" w:cs="宋体" w:hint="eastAsia"/>
          <w:color w:val="000000"/>
          <w:kern w:val="0"/>
          <w:sz w:val="28"/>
          <w:szCs w:val="28"/>
        </w:rPr>
        <w:t>。此前国务院批转财政部《权责发生制政府综合财务报告制度改革方案》（国发〔</w:t>
      </w:r>
      <w:r w:rsidRPr="00843D2F">
        <w:rPr>
          <w:rFonts w:ascii="宋体" w:hAnsi="宋体" w:cs="宋体"/>
          <w:color w:val="000000"/>
          <w:kern w:val="0"/>
          <w:sz w:val="28"/>
          <w:szCs w:val="28"/>
        </w:rPr>
        <w:t>2014</w:t>
      </w:r>
      <w:r w:rsidRPr="00843D2F">
        <w:rPr>
          <w:rFonts w:ascii="宋体" w:hAnsi="宋体" w:cs="宋体" w:hint="eastAsia"/>
          <w:color w:val="000000"/>
          <w:kern w:val="0"/>
          <w:sz w:val="28"/>
          <w:szCs w:val="28"/>
        </w:rPr>
        <w:t>〕</w:t>
      </w:r>
      <w:r w:rsidRPr="00843D2F">
        <w:rPr>
          <w:rFonts w:ascii="宋体" w:hAnsi="宋体" w:cs="宋体"/>
          <w:color w:val="000000"/>
          <w:kern w:val="0"/>
          <w:sz w:val="28"/>
          <w:szCs w:val="28"/>
        </w:rPr>
        <w:t>63</w:t>
      </w:r>
      <w:r w:rsidRPr="00843D2F">
        <w:rPr>
          <w:rFonts w:ascii="宋体" w:hAnsi="宋体" w:cs="宋体" w:hint="eastAsia"/>
          <w:color w:val="000000"/>
          <w:kern w:val="0"/>
          <w:sz w:val="28"/>
          <w:szCs w:val="28"/>
        </w:rPr>
        <w:t>号）。制定政府会计基本准则与建立政府综合财务报告制度是财政部全面贯彻党的十八大和十八届三中全会所确定的财税体制改革总体方案的重大举措，政府会计基本准则与政府综合财务报告也将对财政部门总会计与政府部门单位会计产生深远影响，本专题将对《政府会计准则</w:t>
      </w:r>
      <w:r w:rsidRPr="00843D2F">
        <w:rPr>
          <w:rFonts w:ascii="宋体" w:hAnsi="宋体" w:cs="宋体"/>
          <w:color w:val="000000"/>
          <w:kern w:val="0"/>
          <w:sz w:val="28"/>
          <w:szCs w:val="28"/>
        </w:rPr>
        <w:t>——</w:t>
      </w:r>
      <w:r w:rsidRPr="00843D2F">
        <w:rPr>
          <w:rFonts w:ascii="宋体" w:hAnsi="宋体" w:cs="宋体" w:hint="eastAsia"/>
          <w:color w:val="000000"/>
          <w:kern w:val="0"/>
          <w:sz w:val="28"/>
          <w:szCs w:val="28"/>
        </w:rPr>
        <w:t>基本准则》、《权责发生制政府综合财务报告制度改革方案》制定背景与政策创新进行深入、权威解读，并分析政府会计</w:t>
      </w:r>
      <w:r w:rsidRPr="00843D2F">
        <w:rPr>
          <w:rFonts w:ascii="宋体" w:hAnsi="宋体" w:cs="宋体"/>
          <w:color w:val="000000"/>
          <w:kern w:val="0"/>
          <w:sz w:val="28"/>
          <w:szCs w:val="28"/>
        </w:rPr>
        <w:t>——</w:t>
      </w:r>
      <w:r w:rsidRPr="00843D2F">
        <w:rPr>
          <w:rFonts w:ascii="宋体" w:hAnsi="宋体" w:cs="宋体" w:hint="eastAsia"/>
          <w:color w:val="000000"/>
          <w:kern w:val="0"/>
          <w:sz w:val="28"/>
          <w:szCs w:val="28"/>
        </w:rPr>
        <w:t>政府总会计与政府单位会计改革发展趋势与重大问题。</w:t>
      </w:r>
    </w:p>
    <w:p w:rsidR="00A4463C" w:rsidRPr="00843D2F" w:rsidRDefault="00A4463C" w:rsidP="00AF7824">
      <w:pPr>
        <w:widowControl/>
        <w:shd w:val="clear" w:color="auto" w:fill="FFFFFF"/>
        <w:snapToGrid w:val="0"/>
        <w:spacing w:line="460" w:lineRule="exact"/>
        <w:ind w:leftChars="50" w:left="105" w:firstLineChars="200" w:firstLine="560"/>
        <w:jc w:val="left"/>
        <w:rPr>
          <w:rFonts w:ascii="宋体" w:cs="宋体"/>
          <w:color w:val="000000"/>
          <w:kern w:val="0"/>
          <w:sz w:val="28"/>
          <w:szCs w:val="28"/>
        </w:rPr>
      </w:pPr>
      <w:r w:rsidRPr="00843D2F">
        <w:rPr>
          <w:rFonts w:ascii="宋体" w:hAnsi="宋体" w:cs="宋体" w:hint="eastAsia"/>
          <w:color w:val="000000"/>
          <w:kern w:val="0"/>
          <w:sz w:val="28"/>
          <w:szCs w:val="28"/>
        </w:rPr>
        <w:t>建立健全政府财务报告审计和公开机制是建立权责发生制政府综合财务报告制度的主要任务之一。为了推动政府会计改革顺利实施，确保政府会计准则规范有效执行，</w:t>
      </w:r>
      <w:r w:rsidRPr="00843D2F">
        <w:rPr>
          <w:rFonts w:ascii="宋体" w:hAnsi="宋体" w:cs="宋体"/>
          <w:color w:val="000000"/>
          <w:kern w:val="0"/>
          <w:sz w:val="28"/>
          <w:szCs w:val="28"/>
        </w:rPr>
        <w:t>2015</w:t>
      </w:r>
      <w:r w:rsidRPr="00843D2F">
        <w:rPr>
          <w:rFonts w:ascii="宋体" w:hAnsi="宋体" w:cs="宋体" w:hint="eastAsia"/>
          <w:color w:val="000000"/>
          <w:kern w:val="0"/>
          <w:sz w:val="28"/>
          <w:szCs w:val="28"/>
        </w:rPr>
        <w:t>年</w:t>
      </w:r>
      <w:r w:rsidRPr="00843D2F">
        <w:rPr>
          <w:rFonts w:ascii="宋体" w:hAnsi="宋体" w:cs="宋体"/>
          <w:color w:val="000000"/>
          <w:kern w:val="0"/>
          <w:sz w:val="28"/>
          <w:szCs w:val="28"/>
        </w:rPr>
        <w:t>4</w:t>
      </w:r>
      <w:r w:rsidRPr="00843D2F">
        <w:rPr>
          <w:rFonts w:ascii="宋体" w:hAnsi="宋体" w:cs="宋体" w:hint="eastAsia"/>
          <w:color w:val="000000"/>
          <w:kern w:val="0"/>
          <w:sz w:val="28"/>
          <w:szCs w:val="28"/>
        </w:rPr>
        <w:t>月</w:t>
      </w:r>
      <w:r w:rsidRPr="00843D2F">
        <w:rPr>
          <w:rFonts w:ascii="宋体" w:hAnsi="宋体" w:cs="宋体"/>
          <w:color w:val="000000"/>
          <w:kern w:val="0"/>
          <w:sz w:val="28"/>
          <w:szCs w:val="28"/>
        </w:rPr>
        <w:t>29</w:t>
      </w:r>
      <w:r w:rsidRPr="00843D2F">
        <w:rPr>
          <w:rFonts w:ascii="宋体" w:hAnsi="宋体" w:cs="宋体" w:hint="eastAsia"/>
          <w:color w:val="000000"/>
          <w:kern w:val="0"/>
          <w:sz w:val="28"/>
          <w:szCs w:val="28"/>
        </w:rPr>
        <w:t>日财政部办公厅下发《关于组织开展公共部门注册会计师审计制度研究的通知》，成立由会计司牵头地方财政部门和会计师事务所共同参与的课题组专门研究公共部门注册会计师审计制度，公共部门注册会计师审计制度已成定局。本课程学习将有助于每一位注册会计师迎接业务新挑战、抓住业务发展新机遇。</w:t>
      </w:r>
    </w:p>
    <w:p w:rsidR="00A4463C" w:rsidRPr="00843D2F" w:rsidRDefault="00A4463C" w:rsidP="00AF7824">
      <w:pPr>
        <w:widowControl/>
        <w:shd w:val="clear" w:color="auto" w:fill="FFFFFF"/>
        <w:snapToGrid w:val="0"/>
        <w:spacing w:line="460" w:lineRule="exact"/>
        <w:ind w:left="-50" w:firstLineChars="200" w:firstLine="562"/>
        <w:jc w:val="left"/>
        <w:rPr>
          <w:rFonts w:ascii="宋体" w:cs="宋体"/>
          <w:b/>
          <w:color w:val="000000"/>
          <w:kern w:val="0"/>
          <w:sz w:val="28"/>
          <w:szCs w:val="28"/>
        </w:rPr>
      </w:pPr>
      <w:r w:rsidRPr="00843D2F">
        <w:rPr>
          <w:rFonts w:ascii="宋体" w:hAnsi="宋体" w:cs="宋体" w:hint="eastAsia"/>
          <w:b/>
          <w:color w:val="000000"/>
          <w:kern w:val="0"/>
          <w:sz w:val="28"/>
          <w:szCs w:val="28"/>
        </w:rPr>
        <w:t>一、培训对象</w:t>
      </w:r>
    </w:p>
    <w:p w:rsidR="00A4463C" w:rsidRPr="00843D2F" w:rsidRDefault="00A4463C" w:rsidP="00AF7824">
      <w:pPr>
        <w:widowControl/>
        <w:tabs>
          <w:tab w:val="left" w:pos="720"/>
        </w:tabs>
        <w:spacing w:line="460" w:lineRule="exact"/>
        <w:ind w:left="-50" w:firstLineChars="200" w:firstLine="560"/>
        <w:rPr>
          <w:rFonts w:ascii="宋体" w:cs="宋体"/>
          <w:color w:val="000000"/>
          <w:kern w:val="0"/>
          <w:sz w:val="28"/>
          <w:szCs w:val="28"/>
        </w:rPr>
      </w:pPr>
      <w:r w:rsidRPr="00843D2F">
        <w:rPr>
          <w:rFonts w:ascii="宋体" w:hAnsi="宋体" w:cs="宋体" w:hint="eastAsia"/>
          <w:color w:val="000000"/>
          <w:kern w:val="0"/>
          <w:sz w:val="28"/>
          <w:szCs w:val="28"/>
        </w:rPr>
        <w:t>各级政府财政部门、各政府部门单位财务部门、会计师事务所等中介机构、高校教师、地方政府信用评级机构等</w:t>
      </w:r>
    </w:p>
    <w:p w:rsidR="00A4463C" w:rsidRDefault="00A4463C" w:rsidP="00AF7824">
      <w:pPr>
        <w:widowControl/>
        <w:shd w:val="clear" w:color="auto" w:fill="FFFFFF"/>
        <w:spacing w:line="460" w:lineRule="exact"/>
        <w:ind w:firstLineChars="200" w:firstLine="562"/>
        <w:jc w:val="left"/>
        <w:rPr>
          <w:rFonts w:ascii="宋体" w:cs="宋体"/>
          <w:b/>
          <w:bCs/>
          <w:kern w:val="0"/>
          <w:sz w:val="28"/>
          <w:szCs w:val="28"/>
        </w:rPr>
      </w:pPr>
      <w:r>
        <w:rPr>
          <w:rFonts w:ascii="宋体" w:hAnsi="宋体" w:cs="宋体" w:hint="eastAsia"/>
          <w:b/>
          <w:bCs/>
          <w:kern w:val="0"/>
          <w:sz w:val="28"/>
          <w:szCs w:val="28"/>
        </w:rPr>
        <w:t>二、培训内容</w:t>
      </w:r>
    </w:p>
    <w:p w:rsidR="00A4463C" w:rsidRDefault="00A4463C" w:rsidP="00AF7824">
      <w:pPr>
        <w:widowControl/>
        <w:shd w:val="clear" w:color="auto" w:fill="FFFFFF"/>
        <w:spacing w:line="460" w:lineRule="exact"/>
        <w:ind w:firstLineChars="200" w:firstLine="562"/>
        <w:jc w:val="left"/>
        <w:rPr>
          <w:rFonts w:ascii="宋体" w:cs="宋体"/>
          <w:b/>
          <w:bCs/>
          <w:kern w:val="0"/>
          <w:sz w:val="28"/>
          <w:szCs w:val="28"/>
        </w:rPr>
      </w:pPr>
      <w:r>
        <w:rPr>
          <w:rFonts w:ascii="宋体" w:hAnsi="宋体" w:cs="宋体" w:hint="eastAsia"/>
          <w:b/>
          <w:bCs/>
          <w:kern w:val="0"/>
          <w:sz w:val="28"/>
          <w:szCs w:val="28"/>
        </w:rPr>
        <w:t>第一模块：财税体制改革总体方案及其地方政府债务管理机制</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lastRenderedPageBreak/>
        <w:t>1.</w:t>
      </w:r>
      <w:r>
        <w:rPr>
          <w:rFonts w:ascii="宋体" w:hAnsi="宋体" w:hint="eastAsia"/>
          <w:kern w:val="0"/>
          <w:sz w:val="24"/>
          <w:szCs w:val="24"/>
        </w:rPr>
        <w:t>财政是国家治理的基础和重要支柱</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2.</w:t>
      </w:r>
      <w:r>
        <w:rPr>
          <w:rFonts w:ascii="宋体" w:hAnsi="宋体" w:hint="eastAsia"/>
          <w:kern w:val="0"/>
          <w:sz w:val="24"/>
          <w:szCs w:val="24"/>
        </w:rPr>
        <w:t>深化财税体制三大改革</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3.</w:t>
      </w:r>
      <w:r>
        <w:rPr>
          <w:rFonts w:hint="eastAsia"/>
          <w:sz w:val="24"/>
          <w:szCs w:val="24"/>
        </w:rPr>
        <w:t>深化</w:t>
      </w:r>
      <w:r>
        <w:rPr>
          <w:rFonts w:ascii="宋体" w:hAnsi="宋体" w:hint="eastAsia"/>
          <w:kern w:val="0"/>
          <w:sz w:val="24"/>
          <w:szCs w:val="24"/>
        </w:rPr>
        <w:t>财税体制改革实践表与战略路线图</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4.</w:t>
      </w:r>
      <w:r>
        <w:rPr>
          <w:rFonts w:ascii="宋体" w:hAnsi="宋体" w:hint="eastAsia"/>
          <w:kern w:val="0"/>
          <w:sz w:val="24"/>
          <w:szCs w:val="24"/>
        </w:rPr>
        <w:t>新财税体制下地方政府投资融资机制创新</w:t>
      </w:r>
    </w:p>
    <w:p w:rsidR="00A4463C" w:rsidRDefault="00A4463C" w:rsidP="00AF7824">
      <w:pPr>
        <w:widowControl/>
        <w:shd w:val="clear" w:color="auto" w:fill="FFFFFF"/>
        <w:spacing w:line="460" w:lineRule="exact"/>
        <w:ind w:firstLineChars="250" w:firstLine="600"/>
        <w:jc w:val="left"/>
        <w:rPr>
          <w:rFonts w:ascii="宋体"/>
          <w:kern w:val="0"/>
          <w:sz w:val="24"/>
          <w:szCs w:val="24"/>
        </w:rPr>
      </w:pPr>
      <w:r>
        <w:rPr>
          <w:rFonts w:ascii="宋体" w:hAnsi="宋体"/>
          <w:kern w:val="0"/>
          <w:sz w:val="24"/>
          <w:szCs w:val="24"/>
        </w:rPr>
        <w:t>5.</w:t>
      </w:r>
      <w:r>
        <w:rPr>
          <w:rFonts w:ascii="宋体" w:hAnsi="宋体" w:hint="eastAsia"/>
          <w:kern w:val="0"/>
          <w:sz w:val="24"/>
          <w:szCs w:val="24"/>
        </w:rPr>
        <w:t>地方政府发债与地方政府信用评级制度</w:t>
      </w:r>
    </w:p>
    <w:p w:rsidR="00A4463C" w:rsidRDefault="00A4463C" w:rsidP="00AF7824">
      <w:pPr>
        <w:widowControl/>
        <w:spacing w:line="460" w:lineRule="exact"/>
        <w:ind w:firstLineChars="250" w:firstLine="600"/>
        <w:jc w:val="left"/>
        <w:outlineLvl w:val="0"/>
        <w:rPr>
          <w:rFonts w:ascii="宋体" w:cs="宋体"/>
          <w:color w:val="000000"/>
          <w:sz w:val="24"/>
          <w:szCs w:val="24"/>
        </w:rPr>
      </w:pPr>
      <w:r>
        <w:rPr>
          <w:rFonts w:ascii="宋体" w:hAnsi="宋体"/>
          <w:kern w:val="0"/>
          <w:sz w:val="24"/>
          <w:szCs w:val="24"/>
        </w:rPr>
        <w:t>6.</w:t>
      </w:r>
      <w:r>
        <w:rPr>
          <w:rFonts w:ascii="宋体" w:hAnsi="宋体" w:hint="eastAsia"/>
          <w:kern w:val="0"/>
          <w:sz w:val="24"/>
          <w:szCs w:val="24"/>
        </w:rPr>
        <w:t>编制政府综合财务报告是规范地方政府债务管理的核心基础</w:t>
      </w:r>
    </w:p>
    <w:p w:rsidR="00A4463C" w:rsidRDefault="00A4463C" w:rsidP="00AF7824">
      <w:pPr>
        <w:widowControl/>
        <w:spacing w:line="460" w:lineRule="exact"/>
        <w:ind w:firstLineChars="200" w:firstLine="562"/>
        <w:jc w:val="left"/>
        <w:outlineLvl w:val="0"/>
        <w:rPr>
          <w:rFonts w:ascii="宋体" w:cs="宋体"/>
          <w:b/>
          <w:bCs/>
          <w:kern w:val="0"/>
          <w:sz w:val="28"/>
          <w:szCs w:val="28"/>
        </w:rPr>
      </w:pPr>
      <w:r>
        <w:rPr>
          <w:rFonts w:ascii="宋体" w:hAnsi="宋体" w:cs="宋体" w:hint="eastAsia"/>
          <w:b/>
          <w:bCs/>
          <w:kern w:val="0"/>
          <w:sz w:val="28"/>
          <w:szCs w:val="28"/>
        </w:rPr>
        <w:t>第二模块：权责发生制政府综合财务报告制度</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1.</w:t>
      </w:r>
      <w:r>
        <w:rPr>
          <w:rFonts w:ascii="宋体" w:hAnsi="宋体" w:hint="eastAsia"/>
          <w:kern w:val="0"/>
          <w:sz w:val="24"/>
          <w:szCs w:val="24"/>
        </w:rPr>
        <w:t>《权责发生制政府综合财务报告制度改革方案》出台背景</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2.</w:t>
      </w:r>
      <w:r>
        <w:rPr>
          <w:rFonts w:ascii="宋体" w:hAnsi="宋体" w:hint="eastAsia"/>
          <w:kern w:val="0"/>
          <w:sz w:val="24"/>
          <w:szCs w:val="24"/>
        </w:rPr>
        <w:t>权责发生制政府综合财务报告制度改革指导思想、总体目标和基本原则</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3.</w:t>
      </w:r>
      <w:r>
        <w:rPr>
          <w:rFonts w:ascii="宋体" w:hAnsi="宋体" w:hint="eastAsia"/>
          <w:kern w:val="0"/>
          <w:sz w:val="24"/>
          <w:szCs w:val="24"/>
        </w:rPr>
        <w:t>建立权责发生制政府综合财务报告制度主要任务及其相互关系</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4.</w:t>
      </w:r>
      <w:r>
        <w:rPr>
          <w:rFonts w:ascii="宋体" w:hAnsi="宋体" w:hint="eastAsia"/>
          <w:kern w:val="0"/>
          <w:sz w:val="24"/>
          <w:szCs w:val="24"/>
        </w:rPr>
        <w:t>权责发生制政府综合财务报告制度改革时间表和路线图</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5.</w:t>
      </w:r>
      <w:r>
        <w:rPr>
          <w:rFonts w:ascii="宋体" w:hAnsi="宋体" w:hint="eastAsia"/>
          <w:kern w:val="0"/>
          <w:sz w:val="24"/>
          <w:szCs w:val="24"/>
        </w:rPr>
        <w:t>建立权责发生制政府综合财务报告制度配套措施</w:t>
      </w:r>
    </w:p>
    <w:p w:rsidR="00A4463C" w:rsidRDefault="00A4463C" w:rsidP="00AF7824">
      <w:pPr>
        <w:widowControl/>
        <w:shd w:val="clear" w:color="auto" w:fill="FFFFFF"/>
        <w:spacing w:line="460" w:lineRule="exact"/>
        <w:ind w:firstLineChars="200" w:firstLine="562"/>
        <w:jc w:val="left"/>
        <w:rPr>
          <w:rFonts w:ascii="宋体" w:cs="宋体"/>
          <w:b/>
          <w:bCs/>
          <w:kern w:val="0"/>
          <w:sz w:val="28"/>
          <w:szCs w:val="28"/>
        </w:rPr>
      </w:pPr>
      <w:r>
        <w:rPr>
          <w:rFonts w:ascii="宋体" w:hAnsi="宋体" w:cs="宋体" w:hint="eastAsia"/>
          <w:b/>
          <w:bCs/>
          <w:kern w:val="0"/>
          <w:sz w:val="28"/>
          <w:szCs w:val="28"/>
        </w:rPr>
        <w:t>第三模块：《政府会计准则</w:t>
      </w:r>
      <w:r>
        <w:rPr>
          <w:rFonts w:ascii="宋体" w:hAnsi="宋体" w:cs="宋体"/>
          <w:b/>
          <w:bCs/>
          <w:kern w:val="0"/>
          <w:sz w:val="28"/>
          <w:szCs w:val="28"/>
        </w:rPr>
        <w:t>——</w:t>
      </w:r>
      <w:r>
        <w:rPr>
          <w:rFonts w:ascii="宋体" w:hAnsi="宋体" w:cs="宋体" w:hint="eastAsia"/>
          <w:b/>
          <w:bCs/>
          <w:kern w:val="0"/>
          <w:sz w:val="28"/>
          <w:szCs w:val="28"/>
        </w:rPr>
        <w:t>基本准则》制定背景与重大创新</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1.</w:t>
      </w:r>
      <w:r>
        <w:rPr>
          <w:rFonts w:ascii="宋体" w:hAnsi="宋体" w:hint="eastAsia"/>
          <w:kern w:val="0"/>
          <w:sz w:val="24"/>
          <w:szCs w:val="24"/>
        </w:rPr>
        <w:t>《政府会计准则</w:t>
      </w:r>
      <w:r>
        <w:rPr>
          <w:rFonts w:ascii="宋体"/>
          <w:kern w:val="0"/>
          <w:sz w:val="24"/>
          <w:szCs w:val="24"/>
        </w:rPr>
        <w:t>-</w:t>
      </w:r>
      <w:r>
        <w:rPr>
          <w:rFonts w:ascii="宋体" w:hAnsi="宋体" w:hint="eastAsia"/>
          <w:kern w:val="0"/>
          <w:sz w:val="24"/>
          <w:szCs w:val="24"/>
        </w:rPr>
        <w:t>基本准则》制定背景与重要意义</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2.</w:t>
      </w:r>
      <w:r>
        <w:rPr>
          <w:rFonts w:ascii="宋体" w:hAnsi="宋体" w:hint="eastAsia"/>
          <w:kern w:val="0"/>
          <w:sz w:val="24"/>
          <w:szCs w:val="24"/>
        </w:rPr>
        <w:t>制定《政府会计准则</w:t>
      </w:r>
      <w:r>
        <w:rPr>
          <w:rFonts w:ascii="宋体"/>
          <w:kern w:val="0"/>
          <w:sz w:val="24"/>
          <w:szCs w:val="24"/>
        </w:rPr>
        <w:t>-</w:t>
      </w:r>
      <w:r>
        <w:rPr>
          <w:rFonts w:ascii="宋体" w:hAnsi="宋体" w:hint="eastAsia"/>
          <w:kern w:val="0"/>
          <w:sz w:val="24"/>
          <w:szCs w:val="24"/>
        </w:rPr>
        <w:t>基本准则》原则</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3.</w:t>
      </w:r>
      <w:r>
        <w:rPr>
          <w:rFonts w:ascii="宋体" w:hAnsi="宋体" w:hint="eastAsia"/>
          <w:kern w:val="0"/>
          <w:sz w:val="24"/>
          <w:szCs w:val="24"/>
        </w:rPr>
        <w:t>《政府会计准则</w:t>
      </w:r>
      <w:r>
        <w:rPr>
          <w:rFonts w:ascii="宋体"/>
          <w:kern w:val="0"/>
          <w:sz w:val="24"/>
          <w:szCs w:val="24"/>
        </w:rPr>
        <w:t>-</w:t>
      </w:r>
      <w:r>
        <w:rPr>
          <w:rFonts w:ascii="宋体" w:hAnsi="宋体" w:hint="eastAsia"/>
          <w:kern w:val="0"/>
          <w:sz w:val="24"/>
          <w:szCs w:val="24"/>
        </w:rPr>
        <w:t>基本准则》在政府会计标准体系中的地位和作用</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4.</w:t>
      </w:r>
      <w:r>
        <w:rPr>
          <w:rFonts w:ascii="宋体" w:hAnsi="宋体" w:hint="eastAsia"/>
          <w:kern w:val="0"/>
          <w:sz w:val="24"/>
          <w:szCs w:val="24"/>
        </w:rPr>
        <w:t>《政府会计准则</w:t>
      </w:r>
      <w:r>
        <w:rPr>
          <w:rFonts w:ascii="宋体"/>
          <w:kern w:val="0"/>
          <w:sz w:val="24"/>
          <w:szCs w:val="24"/>
        </w:rPr>
        <w:t>-</w:t>
      </w:r>
      <w:r>
        <w:rPr>
          <w:rFonts w:ascii="宋体" w:hAnsi="宋体" w:hint="eastAsia"/>
          <w:kern w:val="0"/>
          <w:sz w:val="24"/>
          <w:szCs w:val="24"/>
        </w:rPr>
        <w:t>基本准则》主要内容与重大制度理论创新</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5.</w:t>
      </w:r>
      <w:r>
        <w:rPr>
          <w:rFonts w:ascii="宋体" w:hAnsi="宋体" w:hint="eastAsia"/>
          <w:kern w:val="0"/>
          <w:sz w:val="24"/>
          <w:szCs w:val="24"/>
        </w:rPr>
        <w:t>《政府会计准则</w:t>
      </w:r>
      <w:r>
        <w:rPr>
          <w:rFonts w:ascii="宋体"/>
          <w:kern w:val="0"/>
          <w:sz w:val="24"/>
          <w:szCs w:val="24"/>
        </w:rPr>
        <w:t>-</w:t>
      </w:r>
      <w:r>
        <w:rPr>
          <w:rFonts w:ascii="宋体" w:hAnsi="宋体" w:hint="eastAsia"/>
          <w:kern w:val="0"/>
          <w:sz w:val="24"/>
          <w:szCs w:val="24"/>
        </w:rPr>
        <w:t>基本准则》实施对行政事业单位财务和会计管理影响</w:t>
      </w:r>
    </w:p>
    <w:p w:rsidR="00A4463C" w:rsidRDefault="00A4463C" w:rsidP="00AF7824">
      <w:pPr>
        <w:widowControl/>
        <w:spacing w:line="460" w:lineRule="exact"/>
        <w:ind w:firstLineChars="200" w:firstLine="562"/>
        <w:jc w:val="left"/>
        <w:outlineLvl w:val="0"/>
        <w:rPr>
          <w:rFonts w:ascii="宋体"/>
          <w:b/>
          <w:bCs/>
          <w:kern w:val="0"/>
          <w:sz w:val="28"/>
          <w:szCs w:val="28"/>
        </w:rPr>
      </w:pPr>
      <w:r>
        <w:rPr>
          <w:rFonts w:ascii="宋体" w:hAnsi="宋体" w:hint="eastAsia"/>
          <w:b/>
          <w:bCs/>
          <w:kern w:val="0"/>
          <w:sz w:val="28"/>
          <w:szCs w:val="28"/>
        </w:rPr>
        <w:t>第四模块：《财政总预算会计制度》修订及其改革方向</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1.</w:t>
      </w:r>
      <w:r>
        <w:rPr>
          <w:rFonts w:ascii="宋体" w:hAnsi="宋体" w:hint="eastAsia"/>
          <w:kern w:val="0"/>
          <w:sz w:val="24"/>
          <w:szCs w:val="24"/>
        </w:rPr>
        <w:t>修订《财政总预算会计制度》意义与基本原则</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2.</w:t>
      </w:r>
      <w:r>
        <w:rPr>
          <w:rFonts w:ascii="宋体" w:hAnsi="宋体" w:hint="eastAsia"/>
          <w:kern w:val="0"/>
          <w:sz w:val="24"/>
          <w:szCs w:val="24"/>
        </w:rPr>
        <w:t>新《财政总预算会计制度》七大创新</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3.</w:t>
      </w:r>
      <w:r>
        <w:rPr>
          <w:rFonts w:ascii="宋体" w:hAnsi="宋体" w:hint="eastAsia"/>
          <w:kern w:val="0"/>
          <w:sz w:val="24"/>
          <w:szCs w:val="24"/>
        </w:rPr>
        <w:t>新《财政总预算会计制度》会计报表体系设计显著特点</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4.</w:t>
      </w:r>
      <w:r>
        <w:rPr>
          <w:rFonts w:ascii="宋体" w:hAnsi="宋体" w:hint="eastAsia"/>
          <w:kern w:val="0"/>
          <w:sz w:val="24"/>
          <w:szCs w:val="24"/>
        </w:rPr>
        <w:t>财政对外借款与政府股权投资等重要资产负债项目核算规定</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5.</w:t>
      </w:r>
      <w:r>
        <w:rPr>
          <w:rFonts w:ascii="宋体" w:hAnsi="宋体" w:hint="eastAsia"/>
          <w:kern w:val="0"/>
          <w:sz w:val="24"/>
          <w:szCs w:val="24"/>
        </w:rPr>
        <w:t>新旧财政总预算会计制度会计科目对照表</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6.</w:t>
      </w:r>
      <w:r>
        <w:rPr>
          <w:rFonts w:ascii="宋体" w:hAnsi="宋体" w:hint="eastAsia"/>
          <w:kern w:val="0"/>
          <w:sz w:val="24"/>
          <w:szCs w:val="24"/>
        </w:rPr>
        <w:t>新旧财政总预算会计制度有关衔接问题的处理规定</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7.</w:t>
      </w:r>
      <w:r>
        <w:rPr>
          <w:rFonts w:ascii="宋体" w:hAnsi="宋体" w:hint="eastAsia"/>
          <w:kern w:val="0"/>
          <w:sz w:val="24"/>
          <w:szCs w:val="24"/>
        </w:rPr>
        <w:t>政府综合财务报告编制与政府总会计改革</w:t>
      </w:r>
    </w:p>
    <w:p w:rsidR="00A4463C" w:rsidRDefault="00A4463C" w:rsidP="00AF7824">
      <w:pPr>
        <w:widowControl/>
        <w:spacing w:line="460" w:lineRule="exact"/>
        <w:ind w:firstLineChars="200" w:firstLine="562"/>
        <w:jc w:val="left"/>
        <w:outlineLvl w:val="0"/>
        <w:rPr>
          <w:rFonts w:ascii="宋体"/>
          <w:b/>
          <w:bCs/>
          <w:kern w:val="0"/>
          <w:sz w:val="28"/>
          <w:szCs w:val="28"/>
        </w:rPr>
      </w:pPr>
      <w:r>
        <w:rPr>
          <w:rFonts w:ascii="宋体" w:hAnsi="宋体" w:hint="eastAsia"/>
          <w:b/>
          <w:bCs/>
          <w:kern w:val="0"/>
          <w:sz w:val="28"/>
          <w:szCs w:val="28"/>
        </w:rPr>
        <w:t>第五模块：政府部门财务报告编制与政府单位会计改革</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1.</w:t>
      </w:r>
      <w:r>
        <w:rPr>
          <w:rFonts w:ascii="宋体" w:hAnsi="宋体" w:hint="eastAsia"/>
          <w:kern w:val="0"/>
          <w:sz w:val="24"/>
          <w:szCs w:val="24"/>
        </w:rPr>
        <w:t>政府单位会计双分录核算模式及其缺陷</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2.</w:t>
      </w:r>
      <w:r>
        <w:rPr>
          <w:rFonts w:ascii="宋体" w:hAnsi="宋体" w:hint="eastAsia"/>
          <w:kern w:val="0"/>
          <w:sz w:val="24"/>
          <w:szCs w:val="24"/>
        </w:rPr>
        <w:t>政府单位会计统一的平行记账模式</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3.</w:t>
      </w:r>
      <w:r>
        <w:rPr>
          <w:rFonts w:ascii="宋体" w:hAnsi="宋体" w:hint="eastAsia"/>
          <w:kern w:val="0"/>
          <w:sz w:val="24"/>
          <w:szCs w:val="24"/>
        </w:rPr>
        <w:t>政府部门财务报告编制</w:t>
      </w:r>
    </w:p>
    <w:p w:rsidR="00A4463C" w:rsidRDefault="00A4463C" w:rsidP="00AF7824">
      <w:pPr>
        <w:widowControl/>
        <w:spacing w:line="460" w:lineRule="exact"/>
        <w:ind w:firstLineChars="200" w:firstLine="562"/>
        <w:jc w:val="left"/>
        <w:outlineLvl w:val="0"/>
        <w:rPr>
          <w:rFonts w:ascii="宋体"/>
          <w:b/>
          <w:bCs/>
          <w:kern w:val="0"/>
          <w:sz w:val="28"/>
          <w:szCs w:val="28"/>
        </w:rPr>
      </w:pPr>
      <w:r>
        <w:rPr>
          <w:rFonts w:ascii="宋体" w:hAnsi="宋体" w:hint="eastAsia"/>
          <w:b/>
          <w:bCs/>
          <w:kern w:val="0"/>
          <w:sz w:val="28"/>
          <w:szCs w:val="28"/>
        </w:rPr>
        <w:lastRenderedPageBreak/>
        <w:t>第六模块：公共部门注册会计师审计制度</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1.</w:t>
      </w:r>
      <w:r>
        <w:rPr>
          <w:rFonts w:ascii="宋体" w:hAnsi="宋体" w:hint="eastAsia"/>
          <w:kern w:val="0"/>
          <w:sz w:val="24"/>
          <w:szCs w:val="24"/>
        </w:rPr>
        <w:t>我国政府购买服务法律政策制度</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bCs/>
          <w:kern w:val="0"/>
          <w:sz w:val="24"/>
          <w:szCs w:val="24"/>
        </w:rPr>
        <w:t>2.</w:t>
      </w:r>
      <w:r>
        <w:rPr>
          <w:rFonts w:ascii="宋体" w:hAnsi="宋体" w:hint="eastAsia"/>
          <w:bCs/>
          <w:kern w:val="0"/>
          <w:sz w:val="24"/>
          <w:szCs w:val="24"/>
        </w:rPr>
        <w:t>公共部门注册会计师审计</w:t>
      </w:r>
      <w:r>
        <w:rPr>
          <w:rFonts w:ascii="宋体" w:hAnsi="宋体" w:hint="eastAsia"/>
          <w:kern w:val="0"/>
          <w:sz w:val="24"/>
          <w:szCs w:val="24"/>
        </w:rPr>
        <w:t>法制建设</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3.</w:t>
      </w:r>
      <w:r>
        <w:rPr>
          <w:rFonts w:ascii="宋体" w:hAnsi="宋体" w:hint="eastAsia"/>
          <w:kern w:val="0"/>
          <w:sz w:val="24"/>
          <w:szCs w:val="24"/>
        </w:rPr>
        <w:t>公共部门注册会计师审计标准</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4.</w:t>
      </w:r>
      <w:r>
        <w:rPr>
          <w:rFonts w:ascii="宋体" w:hAnsi="宋体" w:hint="eastAsia"/>
          <w:kern w:val="0"/>
          <w:sz w:val="24"/>
          <w:szCs w:val="24"/>
        </w:rPr>
        <w:t>公共部门注册会计师审计经费保障机制</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5.</w:t>
      </w:r>
      <w:r>
        <w:rPr>
          <w:rFonts w:ascii="宋体" w:hAnsi="宋体" w:hint="eastAsia"/>
          <w:kern w:val="0"/>
          <w:sz w:val="24"/>
          <w:szCs w:val="24"/>
        </w:rPr>
        <w:t>公共部门注册会计师审计能力框架和人才建设</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6.</w:t>
      </w:r>
      <w:r>
        <w:rPr>
          <w:rFonts w:ascii="宋体" w:hAnsi="宋体" w:hint="eastAsia"/>
          <w:kern w:val="0"/>
          <w:sz w:val="24"/>
          <w:szCs w:val="24"/>
        </w:rPr>
        <w:t>注册会计师审计报告及其运用机制</w:t>
      </w:r>
    </w:p>
    <w:p w:rsidR="00A4463C" w:rsidRDefault="00A4463C" w:rsidP="00AF7824">
      <w:pPr>
        <w:widowControl/>
        <w:spacing w:line="460" w:lineRule="exact"/>
        <w:ind w:firstLineChars="250" w:firstLine="600"/>
        <w:jc w:val="left"/>
        <w:outlineLvl w:val="0"/>
        <w:rPr>
          <w:rFonts w:ascii="宋体"/>
          <w:kern w:val="0"/>
          <w:sz w:val="24"/>
          <w:szCs w:val="24"/>
        </w:rPr>
      </w:pPr>
      <w:r>
        <w:rPr>
          <w:rFonts w:ascii="宋体" w:hAnsi="宋体"/>
          <w:kern w:val="0"/>
          <w:sz w:val="24"/>
          <w:szCs w:val="24"/>
        </w:rPr>
        <w:t>7.</w:t>
      </w:r>
      <w:r>
        <w:rPr>
          <w:rFonts w:ascii="宋体" w:hAnsi="宋体" w:hint="eastAsia"/>
          <w:kern w:val="0"/>
          <w:sz w:val="24"/>
          <w:szCs w:val="24"/>
        </w:rPr>
        <w:t>注册会计师审计与政府审计、内部审计的协调</w:t>
      </w:r>
    </w:p>
    <w:p w:rsidR="00A4463C" w:rsidRDefault="00A4463C" w:rsidP="00AF7824">
      <w:pPr>
        <w:widowControl/>
        <w:spacing w:line="460" w:lineRule="exact"/>
        <w:ind w:firstLineChars="200" w:firstLine="562"/>
        <w:jc w:val="left"/>
        <w:rPr>
          <w:rFonts w:ascii="宋体" w:cs="宋体"/>
          <w:color w:val="000000"/>
          <w:kern w:val="0"/>
          <w:sz w:val="28"/>
          <w:szCs w:val="28"/>
        </w:rPr>
      </w:pPr>
      <w:r>
        <w:rPr>
          <w:rFonts w:ascii="宋体" w:hAnsi="宋体" w:cs="宋体" w:hint="eastAsia"/>
          <w:b/>
          <w:color w:val="000000"/>
          <w:kern w:val="0"/>
          <w:sz w:val="28"/>
          <w:szCs w:val="28"/>
        </w:rPr>
        <w:t>三、师资力量</w:t>
      </w:r>
    </w:p>
    <w:p w:rsidR="00A4463C" w:rsidRDefault="00A4463C" w:rsidP="00AF7824">
      <w:pPr>
        <w:widowControl/>
        <w:shd w:val="clear" w:color="auto" w:fill="FFFFFF"/>
        <w:spacing w:line="460" w:lineRule="exact"/>
        <w:ind w:firstLineChars="200" w:firstLine="560"/>
        <w:jc w:val="left"/>
        <w:rPr>
          <w:rFonts w:ascii="宋体" w:cs="宋体"/>
          <w:color w:val="000000"/>
          <w:kern w:val="0"/>
          <w:sz w:val="28"/>
          <w:szCs w:val="28"/>
        </w:rPr>
      </w:pPr>
      <w:r>
        <w:rPr>
          <w:rFonts w:ascii="宋体" w:hAnsi="宋体" w:cs="宋体" w:hint="eastAsia"/>
          <w:color w:val="000000"/>
          <w:kern w:val="0"/>
          <w:sz w:val="28"/>
          <w:szCs w:val="28"/>
        </w:rPr>
        <w:t>所有课程由我院精心组织的专门师资团队授课，授课老师皆具有深厚理论功底及丰富实践经验。包括政府财政部门政策制定者、我院及其他高校教授、著名会计师事务所实务专家、地方财政部门及政府部门杰出财务工作者等。</w:t>
      </w:r>
    </w:p>
    <w:p w:rsidR="00A4463C" w:rsidRDefault="00A4463C" w:rsidP="00AF7824">
      <w:pPr>
        <w:widowControl/>
        <w:spacing w:line="460" w:lineRule="exact"/>
        <w:ind w:firstLineChars="200" w:firstLine="562"/>
        <w:jc w:val="left"/>
        <w:rPr>
          <w:rFonts w:ascii="宋体" w:cs="宋体"/>
          <w:b/>
          <w:color w:val="000000"/>
          <w:kern w:val="0"/>
          <w:sz w:val="28"/>
          <w:szCs w:val="28"/>
        </w:rPr>
      </w:pPr>
      <w:r>
        <w:rPr>
          <w:rFonts w:ascii="宋体" w:hAnsi="宋体" w:cs="宋体" w:hint="eastAsia"/>
          <w:b/>
          <w:color w:val="000000"/>
          <w:kern w:val="0"/>
          <w:sz w:val="28"/>
          <w:szCs w:val="28"/>
        </w:rPr>
        <w:t>四、时间地点</w:t>
      </w:r>
    </w:p>
    <w:p w:rsidR="00A4463C" w:rsidRDefault="00A4463C" w:rsidP="00AF7824">
      <w:pPr>
        <w:widowControl/>
        <w:spacing w:line="460" w:lineRule="exact"/>
        <w:ind w:firstLineChars="200" w:firstLine="560"/>
        <w:jc w:val="left"/>
        <w:rPr>
          <w:rFonts w:ascii="宋体" w:cs="宋体"/>
          <w:color w:val="000000"/>
          <w:kern w:val="0"/>
          <w:sz w:val="28"/>
          <w:szCs w:val="28"/>
        </w:rPr>
      </w:pPr>
      <w:r>
        <w:rPr>
          <w:rFonts w:ascii="宋体" w:hAnsi="宋体" w:cs="宋体"/>
          <w:color w:val="000000"/>
          <w:kern w:val="0"/>
          <w:sz w:val="28"/>
          <w:szCs w:val="28"/>
        </w:rPr>
        <w:t>2016</w:t>
      </w:r>
      <w:r>
        <w:rPr>
          <w:rFonts w:ascii="宋体" w:hAnsi="宋体" w:cs="宋体" w:hint="eastAsia"/>
          <w:color w:val="000000"/>
          <w:kern w:val="0"/>
          <w:sz w:val="28"/>
          <w:szCs w:val="28"/>
        </w:rPr>
        <w:t>年</w:t>
      </w:r>
      <w:r w:rsidR="009C0044">
        <w:rPr>
          <w:rFonts w:ascii="宋体" w:hAnsi="宋体" w:cs="宋体" w:hint="eastAsia"/>
          <w:color w:val="000000"/>
          <w:kern w:val="0"/>
          <w:sz w:val="28"/>
          <w:szCs w:val="28"/>
        </w:rPr>
        <w:t>3</w:t>
      </w:r>
      <w:r>
        <w:rPr>
          <w:rFonts w:ascii="宋体" w:hAnsi="宋体" w:cs="宋体" w:hint="eastAsia"/>
          <w:color w:val="000000"/>
          <w:kern w:val="0"/>
          <w:sz w:val="28"/>
          <w:szCs w:val="28"/>
        </w:rPr>
        <w:t>月</w:t>
      </w:r>
      <w:r w:rsidR="009C0044">
        <w:rPr>
          <w:rFonts w:ascii="宋体" w:hAnsi="宋体" w:cs="宋体"/>
          <w:color w:val="000000"/>
          <w:kern w:val="0"/>
          <w:sz w:val="28"/>
          <w:szCs w:val="28"/>
        </w:rPr>
        <w:t>1</w:t>
      </w:r>
      <w:r w:rsidR="009C0044">
        <w:rPr>
          <w:rFonts w:ascii="宋体" w:hAnsi="宋体" w:cs="宋体" w:hint="eastAsia"/>
          <w:color w:val="000000"/>
          <w:kern w:val="0"/>
          <w:sz w:val="28"/>
          <w:szCs w:val="28"/>
        </w:rPr>
        <w:t>6</w:t>
      </w:r>
      <w:r>
        <w:rPr>
          <w:rFonts w:ascii="宋体" w:hAnsi="宋体" w:cs="宋体" w:hint="eastAsia"/>
          <w:color w:val="000000"/>
          <w:kern w:val="0"/>
          <w:sz w:val="28"/>
          <w:szCs w:val="28"/>
        </w:rPr>
        <w:t>日</w:t>
      </w:r>
      <w:r w:rsidR="009C0044">
        <w:rPr>
          <w:rFonts w:ascii="宋体" w:hAnsi="宋体" w:cs="宋体"/>
          <w:color w:val="000000"/>
          <w:kern w:val="0"/>
          <w:sz w:val="28"/>
          <w:szCs w:val="28"/>
        </w:rPr>
        <w:t>—</w:t>
      </w:r>
      <w:r w:rsidR="009C0044">
        <w:rPr>
          <w:rFonts w:ascii="宋体" w:hAnsi="宋体" w:cs="宋体" w:hint="eastAsia"/>
          <w:color w:val="000000"/>
          <w:kern w:val="0"/>
          <w:sz w:val="28"/>
          <w:szCs w:val="28"/>
        </w:rPr>
        <w:t>20</w:t>
      </w:r>
      <w:r>
        <w:rPr>
          <w:rFonts w:ascii="宋体" w:hAnsi="宋体" w:cs="宋体" w:hint="eastAsia"/>
          <w:color w:val="000000"/>
          <w:kern w:val="0"/>
          <w:sz w:val="28"/>
          <w:szCs w:val="28"/>
        </w:rPr>
        <w:t>日（</w:t>
      </w:r>
      <w:r w:rsidR="009C0044">
        <w:rPr>
          <w:rFonts w:ascii="宋体" w:hAnsi="宋体" w:cs="宋体"/>
          <w:color w:val="000000"/>
          <w:kern w:val="0"/>
          <w:sz w:val="28"/>
          <w:szCs w:val="28"/>
        </w:rPr>
        <w:t>1</w:t>
      </w:r>
      <w:r w:rsidR="009C0044">
        <w:rPr>
          <w:rFonts w:ascii="宋体" w:hAnsi="宋体" w:cs="宋体" w:hint="eastAsia"/>
          <w:color w:val="000000"/>
          <w:kern w:val="0"/>
          <w:sz w:val="28"/>
          <w:szCs w:val="28"/>
        </w:rPr>
        <w:t>6</w:t>
      </w:r>
      <w:bookmarkStart w:id="0" w:name="_GoBack"/>
      <w:bookmarkEnd w:id="0"/>
      <w:r>
        <w:rPr>
          <w:rFonts w:ascii="宋体" w:hAnsi="宋体" w:cs="宋体" w:hint="eastAsia"/>
          <w:color w:val="000000"/>
          <w:kern w:val="0"/>
          <w:sz w:val="28"/>
          <w:szCs w:val="28"/>
        </w:rPr>
        <w:t>日报到）</w:t>
      </w:r>
      <w:r>
        <w:rPr>
          <w:rFonts w:ascii="宋体" w:hAnsi="宋体" w:cs="宋体"/>
          <w:color w:val="000000"/>
          <w:kern w:val="0"/>
          <w:sz w:val="28"/>
          <w:szCs w:val="28"/>
        </w:rPr>
        <w:t xml:space="preserve">    </w:t>
      </w:r>
      <w:r>
        <w:rPr>
          <w:rFonts w:ascii="宋体" w:hAnsi="宋体" w:cs="宋体" w:hint="eastAsia"/>
          <w:color w:val="000000"/>
          <w:kern w:val="0"/>
          <w:sz w:val="28"/>
          <w:szCs w:val="28"/>
        </w:rPr>
        <w:t>厦门国家会计学院</w:t>
      </w:r>
    </w:p>
    <w:p w:rsidR="00A4463C" w:rsidRDefault="00A4463C" w:rsidP="00AF7824">
      <w:pPr>
        <w:widowControl/>
        <w:spacing w:line="460" w:lineRule="exact"/>
        <w:ind w:firstLineChars="200" w:firstLine="562"/>
        <w:jc w:val="left"/>
        <w:rPr>
          <w:rFonts w:ascii="宋体" w:cs="宋体"/>
          <w:b/>
          <w:color w:val="000000"/>
          <w:kern w:val="0"/>
          <w:sz w:val="28"/>
          <w:szCs w:val="28"/>
        </w:rPr>
      </w:pPr>
      <w:r>
        <w:rPr>
          <w:rFonts w:ascii="宋体" w:hAnsi="宋体" w:cs="宋体" w:hint="eastAsia"/>
          <w:b/>
          <w:color w:val="000000"/>
          <w:kern w:val="0"/>
          <w:sz w:val="28"/>
          <w:szCs w:val="28"/>
        </w:rPr>
        <w:t>五、收费标准</w:t>
      </w:r>
    </w:p>
    <w:p w:rsidR="00A4463C" w:rsidRDefault="00A4463C" w:rsidP="00AF7824">
      <w:pPr>
        <w:widowControl/>
        <w:spacing w:line="460" w:lineRule="exact"/>
        <w:ind w:firstLineChars="200" w:firstLine="560"/>
        <w:jc w:val="left"/>
        <w:rPr>
          <w:rFonts w:ascii="宋体" w:cs="宋体"/>
          <w:color w:val="000000"/>
          <w:kern w:val="0"/>
          <w:sz w:val="28"/>
          <w:szCs w:val="28"/>
        </w:rPr>
      </w:pPr>
      <w:r>
        <w:rPr>
          <w:rFonts w:ascii="宋体" w:hAnsi="宋体" w:cs="宋体"/>
          <w:color w:val="000000"/>
          <w:kern w:val="0"/>
          <w:sz w:val="28"/>
          <w:szCs w:val="28"/>
        </w:rPr>
        <w:t>1</w:t>
      </w:r>
      <w:r>
        <w:rPr>
          <w:rFonts w:ascii="宋体" w:hAnsi="宋体" w:cs="宋体" w:hint="eastAsia"/>
          <w:color w:val="000000"/>
          <w:kern w:val="0"/>
          <w:sz w:val="28"/>
          <w:szCs w:val="28"/>
        </w:rPr>
        <w:t>、每人收费</w:t>
      </w:r>
      <w:r>
        <w:rPr>
          <w:rFonts w:ascii="宋体" w:hAnsi="宋体" w:cs="宋体"/>
          <w:color w:val="000000"/>
          <w:kern w:val="0"/>
          <w:sz w:val="28"/>
          <w:szCs w:val="28"/>
        </w:rPr>
        <w:t>3000</w:t>
      </w:r>
      <w:r>
        <w:rPr>
          <w:rFonts w:ascii="宋体" w:hAnsi="宋体" w:cs="宋体" w:hint="eastAsia"/>
          <w:color w:val="000000"/>
          <w:kern w:val="0"/>
          <w:sz w:val="28"/>
          <w:szCs w:val="28"/>
        </w:rPr>
        <w:t>元（含培训费、场地费、结业证书等费用）；</w:t>
      </w:r>
    </w:p>
    <w:p w:rsidR="00A4463C" w:rsidRDefault="00A4463C" w:rsidP="00AF7824">
      <w:pPr>
        <w:widowControl/>
        <w:spacing w:line="460" w:lineRule="exact"/>
        <w:ind w:firstLineChars="200" w:firstLine="560"/>
        <w:jc w:val="left"/>
        <w:rPr>
          <w:rFonts w:ascii="宋体" w:cs="宋体"/>
          <w:color w:val="000000"/>
          <w:kern w:val="0"/>
          <w:sz w:val="28"/>
          <w:szCs w:val="28"/>
        </w:rPr>
      </w:pPr>
      <w:r>
        <w:rPr>
          <w:rFonts w:ascii="宋体" w:hAnsi="宋体" w:cs="宋体"/>
          <w:color w:val="000000"/>
          <w:kern w:val="0"/>
          <w:sz w:val="28"/>
          <w:szCs w:val="28"/>
        </w:rPr>
        <w:t>2</w:t>
      </w:r>
      <w:r>
        <w:rPr>
          <w:rFonts w:ascii="宋体" w:hAnsi="宋体" w:cs="宋体" w:hint="eastAsia"/>
          <w:color w:val="000000"/>
          <w:kern w:val="0"/>
          <w:sz w:val="28"/>
          <w:szCs w:val="28"/>
        </w:rPr>
        <w:t>、食宿费每人每天</w:t>
      </w:r>
      <w:r>
        <w:rPr>
          <w:rFonts w:ascii="宋体" w:hAnsi="宋体" w:cs="宋体"/>
          <w:color w:val="000000"/>
          <w:kern w:val="0"/>
          <w:sz w:val="28"/>
          <w:szCs w:val="28"/>
        </w:rPr>
        <w:t>265</w:t>
      </w:r>
      <w:r>
        <w:rPr>
          <w:rFonts w:ascii="宋体" w:hAnsi="宋体" w:cs="宋体" w:hint="eastAsia"/>
          <w:color w:val="000000"/>
          <w:kern w:val="0"/>
          <w:sz w:val="28"/>
          <w:szCs w:val="28"/>
        </w:rPr>
        <w:t>元（含独立学员公寓、三餐及康体设施使用）。</w:t>
      </w:r>
    </w:p>
    <w:p w:rsidR="00A4463C" w:rsidRDefault="00A4463C" w:rsidP="00AF7824">
      <w:pPr>
        <w:widowControl/>
        <w:spacing w:line="460" w:lineRule="exact"/>
        <w:ind w:firstLineChars="200" w:firstLine="562"/>
        <w:jc w:val="left"/>
        <w:rPr>
          <w:rFonts w:ascii="宋体" w:cs="宋体"/>
          <w:color w:val="000000"/>
          <w:kern w:val="0"/>
          <w:sz w:val="28"/>
          <w:szCs w:val="28"/>
        </w:rPr>
      </w:pPr>
      <w:r>
        <w:rPr>
          <w:rFonts w:ascii="宋体" w:hAnsi="宋体" w:cs="宋体" w:hint="eastAsia"/>
          <w:b/>
          <w:bCs/>
          <w:color w:val="000000"/>
          <w:kern w:val="0"/>
          <w:sz w:val="28"/>
          <w:szCs w:val="28"/>
        </w:rPr>
        <w:t>六、结业证书</w:t>
      </w:r>
    </w:p>
    <w:p w:rsidR="00A4463C" w:rsidRDefault="00A4463C" w:rsidP="00AF7824">
      <w:pPr>
        <w:widowControl/>
        <w:spacing w:line="460" w:lineRule="exact"/>
        <w:ind w:firstLineChars="200" w:firstLine="560"/>
        <w:jc w:val="left"/>
        <w:rPr>
          <w:rFonts w:ascii="宋体" w:cs="宋体"/>
          <w:color w:val="000000"/>
          <w:kern w:val="0"/>
          <w:sz w:val="28"/>
          <w:szCs w:val="28"/>
        </w:rPr>
      </w:pPr>
      <w:r>
        <w:rPr>
          <w:rFonts w:ascii="宋体" w:hAnsi="宋体" w:cs="宋体" w:hint="eastAsia"/>
          <w:color w:val="000000"/>
          <w:kern w:val="0"/>
          <w:sz w:val="28"/>
          <w:szCs w:val="28"/>
        </w:rPr>
        <w:t>培训班结束后由厦门国家会计学院颁发结业证书。</w:t>
      </w:r>
    </w:p>
    <w:p w:rsidR="00A4463C" w:rsidRDefault="00A4463C" w:rsidP="00AF7824">
      <w:pPr>
        <w:spacing w:line="460" w:lineRule="exact"/>
        <w:ind w:firstLineChars="200" w:firstLine="562"/>
        <w:rPr>
          <w:rFonts w:ascii="宋体" w:cs="宋体"/>
          <w:b/>
          <w:color w:val="000000"/>
          <w:kern w:val="0"/>
          <w:sz w:val="28"/>
          <w:szCs w:val="28"/>
        </w:rPr>
      </w:pPr>
      <w:r>
        <w:rPr>
          <w:rFonts w:ascii="宋体" w:hAnsi="宋体" w:cs="宋体" w:hint="eastAsia"/>
          <w:b/>
          <w:color w:val="000000"/>
          <w:kern w:val="0"/>
          <w:sz w:val="28"/>
          <w:szCs w:val="28"/>
        </w:rPr>
        <w:t>七、报名程序</w:t>
      </w:r>
    </w:p>
    <w:p w:rsidR="00A4463C" w:rsidRDefault="00A4463C" w:rsidP="00AF7824">
      <w:pPr>
        <w:tabs>
          <w:tab w:val="left" w:pos="360"/>
          <w:tab w:val="left" w:pos="540"/>
        </w:tabs>
        <w:spacing w:line="460" w:lineRule="exact"/>
        <w:ind w:firstLineChars="200" w:firstLine="560"/>
        <w:rPr>
          <w:rFonts w:ascii="宋体" w:cs="宋体"/>
          <w:color w:val="000000"/>
          <w:kern w:val="0"/>
          <w:sz w:val="28"/>
          <w:szCs w:val="28"/>
        </w:rPr>
      </w:pPr>
      <w:r>
        <w:rPr>
          <w:rFonts w:ascii="宋体" w:hAnsi="宋体" w:cs="宋体" w:hint="eastAsia"/>
          <w:color w:val="000000"/>
          <w:kern w:val="0"/>
          <w:sz w:val="28"/>
          <w:szCs w:val="28"/>
        </w:rPr>
        <w:t>请将报名回执表填写完整后发送至承办单位，培训费、食宿费</w:t>
      </w:r>
      <w:r>
        <w:rPr>
          <w:rFonts w:ascii="宋体" w:hAnsi="宋体" w:cs="宋体"/>
          <w:color w:val="000000"/>
          <w:kern w:val="0"/>
          <w:sz w:val="28"/>
          <w:szCs w:val="28"/>
        </w:rPr>
        <w:t>1</w:t>
      </w:r>
      <w:r>
        <w:rPr>
          <w:rFonts w:ascii="宋体" w:hAnsi="宋体" w:cs="宋体" w:hint="eastAsia"/>
          <w:color w:val="000000"/>
          <w:kern w:val="0"/>
          <w:sz w:val="28"/>
          <w:szCs w:val="28"/>
        </w:rPr>
        <w:t>月</w:t>
      </w:r>
      <w:r>
        <w:rPr>
          <w:rFonts w:ascii="宋体" w:hAnsi="宋体" w:cs="宋体"/>
          <w:color w:val="000000"/>
          <w:kern w:val="0"/>
          <w:sz w:val="28"/>
          <w:szCs w:val="28"/>
        </w:rPr>
        <w:t>15</w:t>
      </w:r>
      <w:r>
        <w:rPr>
          <w:rFonts w:ascii="宋体" w:hAnsi="宋体" w:cs="宋体" w:hint="eastAsia"/>
          <w:color w:val="000000"/>
          <w:kern w:val="0"/>
          <w:sz w:val="28"/>
          <w:szCs w:val="28"/>
        </w:rPr>
        <w:t>日报到时交纳（可刷卡）</w:t>
      </w:r>
      <w:r>
        <w:rPr>
          <w:rFonts w:ascii="宋体" w:cs="宋体"/>
          <w:color w:val="000000"/>
          <w:kern w:val="0"/>
          <w:sz w:val="28"/>
          <w:szCs w:val="28"/>
        </w:rPr>
        <w:t>,</w:t>
      </w:r>
      <w:r>
        <w:rPr>
          <w:rFonts w:ascii="宋体" w:hAnsi="宋体" w:cs="宋体" w:hint="eastAsia"/>
          <w:color w:val="000000"/>
          <w:kern w:val="0"/>
          <w:sz w:val="28"/>
          <w:szCs w:val="28"/>
        </w:rPr>
        <w:t>培训班结束后由我院向学员开具培训费及食宿费发票。</w:t>
      </w:r>
    </w:p>
    <w:p w:rsidR="00A4463C" w:rsidRDefault="00A4463C" w:rsidP="00143D9E">
      <w:pPr>
        <w:spacing w:line="360" w:lineRule="auto"/>
        <w:rPr>
          <w:rFonts w:ascii="宋体" w:cs="宋体"/>
          <w:color w:val="000000"/>
          <w:kern w:val="0"/>
          <w:sz w:val="24"/>
          <w:szCs w:val="24"/>
        </w:rPr>
      </w:pPr>
    </w:p>
    <w:p w:rsidR="00A4463C" w:rsidRDefault="00A4463C" w:rsidP="00AF7824">
      <w:pPr>
        <w:spacing w:line="360" w:lineRule="auto"/>
        <w:ind w:firstLineChars="200" w:firstLine="480"/>
        <w:jc w:val="center"/>
        <w:rPr>
          <w:rFonts w:ascii="宋体" w:cs="宋体"/>
          <w:color w:val="000000"/>
          <w:kern w:val="0"/>
          <w:sz w:val="30"/>
          <w:szCs w:val="30"/>
        </w:rPr>
      </w:pPr>
      <w:r>
        <w:rPr>
          <w:rFonts w:ascii="宋体" w:hAnsi="宋体" w:cs="宋体"/>
          <w:color w:val="000000"/>
          <w:kern w:val="0"/>
          <w:sz w:val="24"/>
          <w:szCs w:val="24"/>
        </w:rPr>
        <w:t xml:space="preserve">                                    </w:t>
      </w:r>
      <w:r>
        <w:rPr>
          <w:rFonts w:ascii="宋体" w:hAnsi="宋体" w:cs="宋体" w:hint="eastAsia"/>
          <w:color w:val="000000"/>
          <w:kern w:val="0"/>
          <w:sz w:val="30"/>
          <w:szCs w:val="30"/>
        </w:rPr>
        <w:t>厦门国家会计学院教务处</w:t>
      </w:r>
    </w:p>
    <w:p w:rsidR="00A4463C" w:rsidRDefault="00A4463C" w:rsidP="00AF7824">
      <w:pPr>
        <w:widowControl/>
        <w:spacing w:line="360" w:lineRule="auto"/>
        <w:ind w:firstLineChars="200" w:firstLine="600"/>
        <w:jc w:val="center"/>
        <w:rPr>
          <w:rFonts w:ascii="宋体" w:cs="宋体"/>
          <w:color w:val="000000"/>
          <w:kern w:val="0"/>
          <w:sz w:val="30"/>
          <w:szCs w:val="30"/>
        </w:rPr>
      </w:pPr>
      <w:r>
        <w:rPr>
          <w:rFonts w:ascii="宋体" w:hAnsi="宋体" w:cs="宋体"/>
          <w:color w:val="000000"/>
          <w:kern w:val="0"/>
          <w:sz w:val="30"/>
          <w:szCs w:val="30"/>
        </w:rPr>
        <w:t xml:space="preserve">                             </w:t>
      </w:r>
      <w:r>
        <w:rPr>
          <w:rFonts w:ascii="宋体" w:hAnsi="宋体" w:cs="宋体" w:hint="eastAsia"/>
          <w:color w:val="000000"/>
          <w:kern w:val="0"/>
          <w:sz w:val="30"/>
          <w:szCs w:val="30"/>
        </w:rPr>
        <w:t>二〇一五年十二月</w:t>
      </w:r>
    </w:p>
    <w:p w:rsidR="00A4463C" w:rsidRDefault="00A4463C" w:rsidP="00AF7824">
      <w:pPr>
        <w:widowControl/>
        <w:spacing w:line="480" w:lineRule="auto"/>
        <w:ind w:firstLineChars="400" w:firstLine="1205"/>
        <w:rPr>
          <w:rFonts w:ascii="宋体" w:cs="宋体"/>
          <w:b/>
          <w:bCs/>
          <w:color w:val="000000"/>
          <w:kern w:val="0"/>
          <w:sz w:val="30"/>
          <w:szCs w:val="30"/>
        </w:rPr>
      </w:pPr>
    </w:p>
    <w:p w:rsidR="00A4463C" w:rsidRPr="001F4F1D" w:rsidRDefault="00A4463C" w:rsidP="00AF7824">
      <w:pPr>
        <w:widowControl/>
        <w:spacing w:line="480" w:lineRule="auto"/>
        <w:ind w:firstLineChars="400" w:firstLine="1205"/>
        <w:rPr>
          <w:rFonts w:ascii="宋体" w:cs="宋体"/>
          <w:b/>
          <w:bCs/>
          <w:color w:val="000000"/>
          <w:kern w:val="0"/>
          <w:sz w:val="30"/>
          <w:szCs w:val="30"/>
        </w:rPr>
      </w:pPr>
      <w:r w:rsidRPr="003A5823">
        <w:rPr>
          <w:rFonts w:ascii="宋体" w:hAnsi="宋体" w:cs="宋体" w:hint="eastAsia"/>
          <w:b/>
          <w:bCs/>
          <w:color w:val="000000"/>
          <w:kern w:val="0"/>
          <w:sz w:val="30"/>
          <w:szCs w:val="30"/>
        </w:rPr>
        <w:lastRenderedPageBreak/>
        <w:t>政府综合财务报告编制专题培训班</w:t>
      </w:r>
      <w:r w:rsidRPr="003A5823">
        <w:rPr>
          <w:rFonts w:ascii="宋体" w:hAnsi="宋体" w:cs="宋体" w:hint="eastAsia"/>
          <w:b/>
          <w:color w:val="000000"/>
          <w:kern w:val="0"/>
          <w:sz w:val="30"/>
          <w:szCs w:val="30"/>
        </w:rPr>
        <w:t>报名回执表</w:t>
      </w:r>
    </w:p>
    <w:tbl>
      <w:tblPr>
        <w:tblW w:w="9759" w:type="dxa"/>
        <w:jc w:val="center"/>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0A0" w:firstRow="1" w:lastRow="0" w:firstColumn="1" w:lastColumn="0" w:noHBand="0" w:noVBand="0"/>
      </w:tblPr>
      <w:tblGrid>
        <w:gridCol w:w="1456"/>
        <w:gridCol w:w="879"/>
        <w:gridCol w:w="1117"/>
        <w:gridCol w:w="1338"/>
        <w:gridCol w:w="1558"/>
        <w:gridCol w:w="1846"/>
        <w:gridCol w:w="1565"/>
      </w:tblGrid>
      <w:tr w:rsidR="00A4463C" w:rsidTr="00843D2F">
        <w:trPr>
          <w:trHeight w:hRule="exact" w:val="531"/>
          <w:jc w:val="center"/>
        </w:trPr>
        <w:tc>
          <w:tcPr>
            <w:tcW w:w="1456" w:type="dxa"/>
            <w:tcBorders>
              <w:top w:val="single" w:sz="4" w:space="0" w:color="auto"/>
              <w:bottom w:val="single" w:sz="4" w:space="0" w:color="auto"/>
              <w:right w:val="single" w:sz="4" w:space="0" w:color="auto"/>
            </w:tcBorders>
            <w:vAlign w:val="center"/>
          </w:tcPr>
          <w:p w:rsidR="00A4463C" w:rsidRDefault="00A4463C">
            <w:pPr>
              <w:spacing w:line="360" w:lineRule="auto"/>
              <w:rPr>
                <w:rFonts w:ascii="宋体" w:cs="宋体"/>
                <w:color w:val="000000"/>
                <w:kern w:val="0"/>
                <w:sz w:val="24"/>
                <w:szCs w:val="24"/>
              </w:rPr>
            </w:pPr>
            <w:r>
              <w:rPr>
                <w:rFonts w:ascii="宋体" w:hAnsi="宋体" w:cs="宋体" w:hint="eastAsia"/>
                <w:color w:val="000000"/>
                <w:kern w:val="0"/>
                <w:sz w:val="24"/>
                <w:szCs w:val="24"/>
              </w:rPr>
              <w:t>单位名称</w:t>
            </w:r>
          </w:p>
        </w:tc>
        <w:tc>
          <w:tcPr>
            <w:tcW w:w="8303" w:type="dxa"/>
            <w:gridSpan w:val="6"/>
            <w:tcBorders>
              <w:top w:val="single" w:sz="4" w:space="0" w:color="auto"/>
              <w:left w:val="single" w:sz="4" w:space="0" w:color="auto"/>
              <w:bottom w:val="single" w:sz="4" w:space="0" w:color="auto"/>
            </w:tcBorders>
            <w:vAlign w:val="center"/>
          </w:tcPr>
          <w:p w:rsidR="00A4463C" w:rsidRDefault="00A4463C">
            <w:pPr>
              <w:spacing w:line="360" w:lineRule="auto"/>
              <w:rPr>
                <w:rFonts w:ascii="宋体" w:cs="宋体"/>
                <w:color w:val="000000"/>
                <w:kern w:val="0"/>
                <w:sz w:val="24"/>
                <w:szCs w:val="24"/>
              </w:rPr>
            </w:pPr>
          </w:p>
        </w:tc>
      </w:tr>
      <w:tr w:rsidR="00A4463C" w:rsidTr="00843D2F">
        <w:trPr>
          <w:trHeight w:hRule="exact" w:val="439"/>
          <w:jc w:val="center"/>
        </w:trPr>
        <w:tc>
          <w:tcPr>
            <w:tcW w:w="1456" w:type="dxa"/>
            <w:tcBorders>
              <w:top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r>
              <w:rPr>
                <w:rFonts w:ascii="宋体" w:hAnsi="宋体" w:cs="宋体" w:hint="eastAsia"/>
                <w:color w:val="000000"/>
                <w:kern w:val="0"/>
                <w:sz w:val="24"/>
                <w:szCs w:val="24"/>
              </w:rPr>
              <w:t>学员姓名</w:t>
            </w:r>
          </w:p>
        </w:tc>
        <w:tc>
          <w:tcPr>
            <w:tcW w:w="879"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r>
              <w:rPr>
                <w:rFonts w:ascii="宋体" w:hAnsi="宋体" w:cs="宋体" w:hint="eastAsia"/>
                <w:color w:val="000000"/>
                <w:kern w:val="0"/>
                <w:sz w:val="24"/>
                <w:szCs w:val="24"/>
              </w:rPr>
              <w:t>性别</w:t>
            </w:r>
          </w:p>
        </w:tc>
        <w:tc>
          <w:tcPr>
            <w:tcW w:w="1117"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r>
              <w:rPr>
                <w:rFonts w:ascii="宋体" w:hAnsi="宋体" w:cs="宋体" w:hint="eastAsia"/>
                <w:color w:val="000000"/>
                <w:kern w:val="0"/>
                <w:sz w:val="24"/>
                <w:szCs w:val="24"/>
              </w:rPr>
              <w:t>职务</w:t>
            </w:r>
          </w:p>
        </w:tc>
        <w:tc>
          <w:tcPr>
            <w:tcW w:w="133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r>
              <w:rPr>
                <w:rFonts w:ascii="宋体" w:hAnsi="宋体" w:cs="宋体" w:hint="eastAsia"/>
                <w:color w:val="000000"/>
                <w:kern w:val="0"/>
                <w:sz w:val="24"/>
                <w:szCs w:val="24"/>
              </w:rPr>
              <w:t>电话</w:t>
            </w:r>
          </w:p>
        </w:tc>
        <w:tc>
          <w:tcPr>
            <w:tcW w:w="155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r>
              <w:rPr>
                <w:rFonts w:ascii="宋体" w:hAnsi="宋体" w:cs="宋体" w:hint="eastAsia"/>
                <w:color w:val="000000"/>
                <w:kern w:val="0"/>
                <w:sz w:val="24"/>
                <w:szCs w:val="24"/>
              </w:rPr>
              <w:t>传真</w:t>
            </w:r>
          </w:p>
        </w:tc>
        <w:tc>
          <w:tcPr>
            <w:tcW w:w="1846"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r>
              <w:rPr>
                <w:rFonts w:ascii="宋体" w:hAnsi="宋体" w:cs="宋体" w:hint="eastAsia"/>
                <w:color w:val="000000"/>
                <w:kern w:val="0"/>
                <w:sz w:val="24"/>
                <w:szCs w:val="24"/>
              </w:rPr>
              <w:t>手机</w:t>
            </w:r>
          </w:p>
        </w:tc>
        <w:tc>
          <w:tcPr>
            <w:tcW w:w="1565" w:type="dxa"/>
            <w:tcBorders>
              <w:top w:val="single" w:sz="4" w:space="0" w:color="auto"/>
              <w:left w:val="single" w:sz="4" w:space="0" w:color="auto"/>
              <w:bottom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r>
              <w:rPr>
                <w:rFonts w:ascii="宋体" w:hAnsi="宋体" w:cs="宋体" w:hint="eastAsia"/>
                <w:color w:val="000000"/>
                <w:kern w:val="0"/>
                <w:sz w:val="24"/>
                <w:szCs w:val="24"/>
              </w:rPr>
              <w:t>电子信箱</w:t>
            </w:r>
          </w:p>
        </w:tc>
      </w:tr>
      <w:tr w:rsidR="00A4463C" w:rsidTr="00843D2F">
        <w:trPr>
          <w:trHeight w:hRule="exact" w:val="550"/>
          <w:jc w:val="center"/>
        </w:trPr>
        <w:tc>
          <w:tcPr>
            <w:tcW w:w="1456" w:type="dxa"/>
            <w:tcBorders>
              <w:top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117"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846" w:type="dxa"/>
            <w:tcBorders>
              <w:top w:val="single" w:sz="6" w:space="0" w:color="auto"/>
              <w:left w:val="single" w:sz="4" w:space="0" w:color="auto"/>
              <w:bottom w:val="single" w:sz="4" w:space="0" w:color="auto"/>
              <w:right w:val="single" w:sz="6"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565" w:type="dxa"/>
            <w:tcBorders>
              <w:top w:val="single" w:sz="6" w:space="0" w:color="auto"/>
              <w:left w:val="single" w:sz="6" w:space="0" w:color="auto"/>
              <w:bottom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r>
      <w:tr w:rsidR="00A4463C" w:rsidTr="00843D2F">
        <w:trPr>
          <w:trHeight w:hRule="exact" w:val="552"/>
          <w:jc w:val="center"/>
        </w:trPr>
        <w:tc>
          <w:tcPr>
            <w:tcW w:w="1456" w:type="dxa"/>
            <w:tcBorders>
              <w:top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117"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846" w:type="dxa"/>
            <w:tcBorders>
              <w:top w:val="single" w:sz="6" w:space="0" w:color="auto"/>
              <w:left w:val="single" w:sz="4" w:space="0" w:color="auto"/>
              <w:bottom w:val="single" w:sz="4" w:space="0" w:color="auto"/>
              <w:right w:val="single" w:sz="6"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65" w:type="dxa"/>
            <w:tcBorders>
              <w:top w:val="single" w:sz="6" w:space="0" w:color="auto"/>
              <w:left w:val="single" w:sz="6" w:space="0" w:color="auto"/>
              <w:bottom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r>
      <w:tr w:rsidR="00A4463C" w:rsidTr="00843D2F">
        <w:trPr>
          <w:trHeight w:hRule="exact" w:val="552"/>
          <w:jc w:val="center"/>
        </w:trPr>
        <w:tc>
          <w:tcPr>
            <w:tcW w:w="1456" w:type="dxa"/>
            <w:tcBorders>
              <w:top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117"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846" w:type="dxa"/>
            <w:tcBorders>
              <w:top w:val="single" w:sz="6" w:space="0" w:color="auto"/>
              <w:left w:val="single" w:sz="4" w:space="0" w:color="auto"/>
              <w:bottom w:val="single" w:sz="4" w:space="0" w:color="auto"/>
              <w:right w:val="single" w:sz="6"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65" w:type="dxa"/>
            <w:tcBorders>
              <w:top w:val="single" w:sz="6" w:space="0" w:color="auto"/>
              <w:left w:val="single" w:sz="6" w:space="0" w:color="auto"/>
              <w:bottom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r>
      <w:tr w:rsidR="00A4463C" w:rsidTr="00843D2F">
        <w:trPr>
          <w:trHeight w:hRule="exact" w:val="552"/>
          <w:jc w:val="center"/>
        </w:trPr>
        <w:tc>
          <w:tcPr>
            <w:tcW w:w="1456" w:type="dxa"/>
            <w:tcBorders>
              <w:top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117"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846" w:type="dxa"/>
            <w:tcBorders>
              <w:top w:val="single" w:sz="6" w:space="0" w:color="auto"/>
              <w:left w:val="single" w:sz="4" w:space="0" w:color="auto"/>
              <w:bottom w:val="single" w:sz="4" w:space="0" w:color="auto"/>
              <w:right w:val="single" w:sz="6"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65" w:type="dxa"/>
            <w:tcBorders>
              <w:top w:val="single" w:sz="6" w:space="0" w:color="auto"/>
              <w:left w:val="single" w:sz="6" w:space="0" w:color="auto"/>
              <w:bottom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r>
      <w:tr w:rsidR="00A4463C" w:rsidTr="00843D2F">
        <w:trPr>
          <w:trHeight w:hRule="exact" w:val="552"/>
          <w:jc w:val="center"/>
        </w:trPr>
        <w:tc>
          <w:tcPr>
            <w:tcW w:w="1456" w:type="dxa"/>
            <w:tcBorders>
              <w:top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117"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846" w:type="dxa"/>
            <w:tcBorders>
              <w:top w:val="single" w:sz="6" w:space="0" w:color="auto"/>
              <w:left w:val="single" w:sz="4" w:space="0" w:color="auto"/>
              <w:bottom w:val="single" w:sz="4" w:space="0" w:color="auto"/>
              <w:right w:val="single" w:sz="6"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65" w:type="dxa"/>
            <w:tcBorders>
              <w:top w:val="single" w:sz="6" w:space="0" w:color="auto"/>
              <w:left w:val="single" w:sz="6" w:space="0" w:color="auto"/>
              <w:bottom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r>
      <w:tr w:rsidR="00A4463C" w:rsidTr="00843D2F">
        <w:trPr>
          <w:trHeight w:hRule="exact" w:val="552"/>
          <w:jc w:val="center"/>
        </w:trPr>
        <w:tc>
          <w:tcPr>
            <w:tcW w:w="1456" w:type="dxa"/>
            <w:tcBorders>
              <w:top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117"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846" w:type="dxa"/>
            <w:tcBorders>
              <w:top w:val="single" w:sz="6" w:space="0" w:color="auto"/>
              <w:left w:val="single" w:sz="4" w:space="0" w:color="auto"/>
              <w:bottom w:val="single" w:sz="4" w:space="0" w:color="auto"/>
              <w:right w:val="single" w:sz="6"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65" w:type="dxa"/>
            <w:tcBorders>
              <w:top w:val="single" w:sz="6" w:space="0" w:color="auto"/>
              <w:left w:val="single" w:sz="6" w:space="0" w:color="auto"/>
              <w:bottom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r>
      <w:tr w:rsidR="00A4463C" w:rsidTr="00843D2F">
        <w:trPr>
          <w:trHeight w:hRule="exact" w:val="552"/>
          <w:jc w:val="center"/>
        </w:trPr>
        <w:tc>
          <w:tcPr>
            <w:tcW w:w="1456" w:type="dxa"/>
            <w:tcBorders>
              <w:top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117"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846" w:type="dxa"/>
            <w:tcBorders>
              <w:top w:val="single" w:sz="6" w:space="0" w:color="auto"/>
              <w:left w:val="single" w:sz="4" w:space="0" w:color="auto"/>
              <w:bottom w:val="single" w:sz="4" w:space="0" w:color="auto"/>
              <w:right w:val="single" w:sz="6"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65" w:type="dxa"/>
            <w:tcBorders>
              <w:top w:val="single" w:sz="6" w:space="0" w:color="auto"/>
              <w:left w:val="single" w:sz="6" w:space="0" w:color="auto"/>
              <w:bottom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r>
      <w:tr w:rsidR="00A4463C" w:rsidTr="00843D2F">
        <w:trPr>
          <w:trHeight w:hRule="exact" w:val="552"/>
          <w:jc w:val="center"/>
        </w:trPr>
        <w:tc>
          <w:tcPr>
            <w:tcW w:w="1456" w:type="dxa"/>
            <w:tcBorders>
              <w:top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117"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846" w:type="dxa"/>
            <w:tcBorders>
              <w:top w:val="single" w:sz="6" w:space="0" w:color="auto"/>
              <w:left w:val="single" w:sz="4" w:space="0" w:color="auto"/>
              <w:bottom w:val="single" w:sz="4" w:space="0" w:color="auto"/>
              <w:right w:val="single" w:sz="6"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65" w:type="dxa"/>
            <w:tcBorders>
              <w:top w:val="single" w:sz="6" w:space="0" w:color="auto"/>
              <w:left w:val="single" w:sz="6" w:space="0" w:color="auto"/>
              <w:bottom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r>
      <w:tr w:rsidR="00A4463C" w:rsidTr="00843D2F">
        <w:trPr>
          <w:trHeight w:hRule="exact" w:val="552"/>
          <w:jc w:val="center"/>
        </w:trPr>
        <w:tc>
          <w:tcPr>
            <w:tcW w:w="1456" w:type="dxa"/>
            <w:tcBorders>
              <w:top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117"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846" w:type="dxa"/>
            <w:tcBorders>
              <w:top w:val="single" w:sz="6" w:space="0" w:color="auto"/>
              <w:left w:val="single" w:sz="4" w:space="0" w:color="auto"/>
              <w:bottom w:val="single" w:sz="4" w:space="0" w:color="auto"/>
              <w:right w:val="single" w:sz="6"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65" w:type="dxa"/>
            <w:tcBorders>
              <w:top w:val="single" w:sz="6" w:space="0" w:color="auto"/>
              <w:left w:val="single" w:sz="6" w:space="0" w:color="auto"/>
              <w:bottom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r>
      <w:tr w:rsidR="00A4463C" w:rsidTr="00843D2F">
        <w:trPr>
          <w:trHeight w:hRule="exact" w:val="552"/>
          <w:jc w:val="center"/>
        </w:trPr>
        <w:tc>
          <w:tcPr>
            <w:tcW w:w="1456" w:type="dxa"/>
            <w:tcBorders>
              <w:top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117"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846" w:type="dxa"/>
            <w:tcBorders>
              <w:top w:val="single" w:sz="6" w:space="0" w:color="auto"/>
              <w:left w:val="single" w:sz="4" w:space="0" w:color="auto"/>
              <w:bottom w:val="single" w:sz="4" w:space="0" w:color="auto"/>
              <w:right w:val="single" w:sz="6"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65" w:type="dxa"/>
            <w:tcBorders>
              <w:top w:val="single" w:sz="6" w:space="0" w:color="auto"/>
              <w:left w:val="single" w:sz="6" w:space="0" w:color="auto"/>
              <w:bottom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r>
      <w:tr w:rsidR="00A4463C" w:rsidTr="00843D2F">
        <w:trPr>
          <w:trHeight w:hRule="exact" w:val="552"/>
          <w:jc w:val="center"/>
        </w:trPr>
        <w:tc>
          <w:tcPr>
            <w:tcW w:w="1456" w:type="dxa"/>
            <w:tcBorders>
              <w:top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117"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846" w:type="dxa"/>
            <w:tcBorders>
              <w:top w:val="single" w:sz="6" w:space="0" w:color="auto"/>
              <w:left w:val="single" w:sz="4" w:space="0" w:color="auto"/>
              <w:bottom w:val="single" w:sz="4" w:space="0" w:color="auto"/>
              <w:right w:val="single" w:sz="6"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65" w:type="dxa"/>
            <w:tcBorders>
              <w:top w:val="single" w:sz="6" w:space="0" w:color="auto"/>
              <w:left w:val="single" w:sz="6" w:space="0" w:color="auto"/>
              <w:bottom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r>
      <w:tr w:rsidR="00A4463C" w:rsidTr="00843D2F">
        <w:trPr>
          <w:trHeight w:hRule="exact" w:val="552"/>
          <w:jc w:val="center"/>
        </w:trPr>
        <w:tc>
          <w:tcPr>
            <w:tcW w:w="1456" w:type="dxa"/>
            <w:tcBorders>
              <w:top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117"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846" w:type="dxa"/>
            <w:tcBorders>
              <w:top w:val="single" w:sz="6" w:space="0" w:color="auto"/>
              <w:left w:val="single" w:sz="4" w:space="0" w:color="auto"/>
              <w:bottom w:val="single" w:sz="4" w:space="0" w:color="auto"/>
              <w:right w:val="single" w:sz="6"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65" w:type="dxa"/>
            <w:tcBorders>
              <w:top w:val="single" w:sz="6" w:space="0" w:color="auto"/>
              <w:left w:val="single" w:sz="6" w:space="0" w:color="auto"/>
              <w:bottom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r>
      <w:tr w:rsidR="00A4463C" w:rsidTr="00843D2F">
        <w:trPr>
          <w:trHeight w:hRule="exact" w:val="552"/>
          <w:jc w:val="center"/>
        </w:trPr>
        <w:tc>
          <w:tcPr>
            <w:tcW w:w="1456" w:type="dxa"/>
            <w:tcBorders>
              <w:top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117"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846" w:type="dxa"/>
            <w:tcBorders>
              <w:top w:val="single" w:sz="6" w:space="0" w:color="auto"/>
              <w:left w:val="single" w:sz="4" w:space="0" w:color="auto"/>
              <w:bottom w:val="single" w:sz="4" w:space="0" w:color="auto"/>
              <w:right w:val="single" w:sz="6"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65" w:type="dxa"/>
            <w:tcBorders>
              <w:top w:val="single" w:sz="6" w:space="0" w:color="auto"/>
              <w:left w:val="single" w:sz="6" w:space="0" w:color="auto"/>
              <w:bottom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r>
      <w:tr w:rsidR="00A4463C" w:rsidTr="00843D2F">
        <w:trPr>
          <w:trHeight w:hRule="exact" w:val="552"/>
          <w:jc w:val="center"/>
        </w:trPr>
        <w:tc>
          <w:tcPr>
            <w:tcW w:w="1456" w:type="dxa"/>
            <w:tcBorders>
              <w:top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117"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c>
          <w:tcPr>
            <w:tcW w:w="1846" w:type="dxa"/>
            <w:tcBorders>
              <w:top w:val="single" w:sz="6" w:space="0" w:color="auto"/>
              <w:left w:val="single" w:sz="4" w:space="0" w:color="auto"/>
              <w:bottom w:val="single" w:sz="4" w:space="0" w:color="auto"/>
              <w:right w:val="single" w:sz="6" w:space="0" w:color="auto"/>
            </w:tcBorders>
            <w:vAlign w:val="center"/>
          </w:tcPr>
          <w:p w:rsidR="00A4463C" w:rsidRDefault="00A4463C">
            <w:pPr>
              <w:tabs>
                <w:tab w:val="left" w:pos="360"/>
                <w:tab w:val="left" w:pos="540"/>
              </w:tabs>
              <w:spacing w:line="360" w:lineRule="auto"/>
              <w:rPr>
                <w:rFonts w:ascii="宋体" w:cs="宋体"/>
                <w:color w:val="000000"/>
                <w:kern w:val="0"/>
                <w:sz w:val="24"/>
                <w:szCs w:val="24"/>
              </w:rPr>
            </w:pPr>
          </w:p>
        </w:tc>
        <w:tc>
          <w:tcPr>
            <w:tcW w:w="1565" w:type="dxa"/>
            <w:tcBorders>
              <w:top w:val="single" w:sz="6" w:space="0" w:color="auto"/>
              <w:left w:val="single" w:sz="6" w:space="0" w:color="auto"/>
              <w:bottom w:val="single" w:sz="4" w:space="0" w:color="auto"/>
            </w:tcBorders>
            <w:vAlign w:val="center"/>
          </w:tcPr>
          <w:p w:rsidR="00A4463C" w:rsidRDefault="00A4463C">
            <w:pPr>
              <w:tabs>
                <w:tab w:val="left" w:pos="360"/>
                <w:tab w:val="left" w:pos="540"/>
              </w:tabs>
              <w:spacing w:line="360" w:lineRule="auto"/>
              <w:jc w:val="center"/>
              <w:rPr>
                <w:rFonts w:ascii="宋体" w:cs="宋体"/>
                <w:color w:val="000000"/>
                <w:kern w:val="0"/>
                <w:sz w:val="24"/>
                <w:szCs w:val="24"/>
              </w:rPr>
            </w:pPr>
          </w:p>
        </w:tc>
      </w:tr>
      <w:tr w:rsidR="00A4463C" w:rsidTr="00843D2F">
        <w:trPr>
          <w:trHeight w:val="831"/>
          <w:jc w:val="center"/>
        </w:trPr>
        <w:tc>
          <w:tcPr>
            <w:tcW w:w="9759" w:type="dxa"/>
            <w:gridSpan w:val="7"/>
            <w:tcBorders>
              <w:top w:val="single" w:sz="4" w:space="0" w:color="auto"/>
              <w:bottom w:val="single" w:sz="4" w:space="0" w:color="auto"/>
            </w:tcBorders>
            <w:vAlign w:val="center"/>
          </w:tcPr>
          <w:p w:rsidR="00A4463C" w:rsidRDefault="00A4463C">
            <w:pPr>
              <w:tabs>
                <w:tab w:val="left" w:pos="360"/>
                <w:tab w:val="left" w:pos="540"/>
              </w:tabs>
              <w:spacing w:line="360" w:lineRule="auto"/>
              <w:rPr>
                <w:rFonts w:ascii="宋体" w:cs="宋体"/>
                <w:bCs/>
                <w:color w:val="000000"/>
                <w:kern w:val="0"/>
                <w:sz w:val="24"/>
                <w:szCs w:val="24"/>
              </w:rPr>
            </w:pPr>
            <w:r>
              <w:rPr>
                <w:rFonts w:ascii="宋体" w:hAnsi="宋体" w:cs="宋体" w:hint="eastAsia"/>
                <w:color w:val="000000"/>
                <w:kern w:val="0"/>
                <w:sz w:val="24"/>
                <w:szCs w:val="24"/>
              </w:rPr>
              <w:t>联系人：于济铭手机：</w:t>
            </w:r>
            <w:r>
              <w:rPr>
                <w:rFonts w:ascii="宋体" w:hAnsi="宋体" w:cs="宋体"/>
                <w:color w:val="000000"/>
                <w:kern w:val="0"/>
                <w:sz w:val="24"/>
                <w:szCs w:val="24"/>
              </w:rPr>
              <w:t>13910280750</w:t>
            </w:r>
          </w:p>
          <w:p w:rsidR="00A4463C" w:rsidRDefault="00A4463C">
            <w:pPr>
              <w:spacing w:line="360" w:lineRule="auto"/>
              <w:rPr>
                <w:rFonts w:ascii="宋体" w:cs="宋体"/>
                <w:color w:val="000000"/>
                <w:sz w:val="24"/>
                <w:szCs w:val="24"/>
              </w:rPr>
            </w:pPr>
            <w:r>
              <w:rPr>
                <w:rFonts w:ascii="宋体" w:hAnsi="宋体" w:cs="宋体" w:hint="eastAsia"/>
                <w:color w:val="000000"/>
                <w:kern w:val="0"/>
                <w:sz w:val="24"/>
                <w:szCs w:val="24"/>
              </w:rPr>
              <w:t>报名电话</w:t>
            </w:r>
            <w:r>
              <w:rPr>
                <w:rFonts w:ascii="宋体" w:hAnsi="宋体" w:cs="宋体"/>
                <w:color w:val="000000"/>
                <w:kern w:val="0"/>
                <w:sz w:val="24"/>
                <w:szCs w:val="24"/>
              </w:rPr>
              <w:t>/</w:t>
            </w:r>
            <w:r>
              <w:rPr>
                <w:rFonts w:ascii="宋体" w:hAnsi="宋体" w:cs="宋体" w:hint="eastAsia"/>
                <w:color w:val="000000"/>
                <w:kern w:val="0"/>
                <w:sz w:val="24"/>
                <w:szCs w:val="24"/>
              </w:rPr>
              <w:t>传真：</w:t>
            </w:r>
            <w:r>
              <w:rPr>
                <w:rFonts w:ascii="宋体" w:hAnsi="宋体" w:cs="宋体"/>
                <w:bCs/>
                <w:color w:val="000000"/>
                <w:kern w:val="0"/>
                <w:sz w:val="24"/>
                <w:szCs w:val="24"/>
              </w:rPr>
              <w:t xml:space="preserve">010-52108701        </w:t>
            </w:r>
            <w:r>
              <w:rPr>
                <w:rFonts w:ascii="宋体" w:hAnsi="宋体" w:cs="宋体"/>
                <w:color w:val="000000"/>
                <w:kern w:val="0"/>
                <w:sz w:val="24"/>
                <w:szCs w:val="24"/>
              </w:rPr>
              <w:t>Email</w:t>
            </w:r>
            <w:r>
              <w:rPr>
                <w:rFonts w:ascii="宋体" w:hAnsi="宋体" w:cs="宋体" w:hint="eastAsia"/>
                <w:color w:val="000000"/>
                <w:kern w:val="0"/>
                <w:sz w:val="24"/>
                <w:szCs w:val="24"/>
              </w:rPr>
              <w:t>：</w:t>
            </w:r>
            <w:r>
              <w:rPr>
                <w:rFonts w:ascii="宋体" w:hAnsi="宋体" w:cs="宋体"/>
                <w:bCs/>
                <w:color w:val="000000"/>
                <w:sz w:val="24"/>
                <w:szCs w:val="24"/>
              </w:rPr>
              <w:t>yujiming666@163.com</w:t>
            </w:r>
          </w:p>
          <w:p w:rsidR="00A4463C" w:rsidRDefault="00A4463C">
            <w:pPr>
              <w:spacing w:line="360" w:lineRule="auto"/>
              <w:rPr>
                <w:rFonts w:ascii="宋体" w:cs="宋体"/>
                <w:color w:val="000000"/>
                <w:kern w:val="0"/>
                <w:sz w:val="24"/>
                <w:szCs w:val="24"/>
              </w:rPr>
            </w:pPr>
            <w:r>
              <w:rPr>
                <w:rFonts w:ascii="宋体" w:hAnsi="宋体" w:cs="宋体" w:hint="eastAsia"/>
                <w:color w:val="000000"/>
                <w:kern w:val="0"/>
                <w:sz w:val="24"/>
                <w:szCs w:val="24"/>
              </w:rPr>
              <w:t>厦门国家会计学院教务处联系人：</w:t>
            </w:r>
            <w:r>
              <w:rPr>
                <w:rFonts w:ascii="宋体" w:hAnsi="宋体" w:cs="宋体"/>
                <w:color w:val="000000"/>
                <w:kern w:val="0"/>
                <w:sz w:val="24"/>
                <w:szCs w:val="24"/>
              </w:rPr>
              <w:t xml:space="preserve">0592—2578167    </w:t>
            </w:r>
            <w:r>
              <w:rPr>
                <w:rFonts w:ascii="宋体" w:hAnsi="宋体" w:cs="宋体" w:hint="eastAsia"/>
                <w:color w:val="000000"/>
                <w:kern w:val="0"/>
                <w:sz w:val="24"/>
                <w:szCs w:val="24"/>
              </w:rPr>
              <w:t>蔡晃老师</w:t>
            </w:r>
            <w:r>
              <w:rPr>
                <w:rFonts w:ascii="宋体" w:hAnsi="宋体" w:cs="宋体"/>
                <w:color w:val="000000"/>
                <w:kern w:val="0"/>
                <w:sz w:val="24"/>
                <w:szCs w:val="24"/>
              </w:rPr>
              <w:t xml:space="preserve">               </w:t>
            </w:r>
          </w:p>
          <w:p w:rsidR="00A4463C" w:rsidRDefault="00A4463C">
            <w:pPr>
              <w:spacing w:line="360" w:lineRule="auto"/>
              <w:rPr>
                <w:rFonts w:ascii="宋体" w:cs="宋体"/>
                <w:color w:val="000000"/>
                <w:kern w:val="0"/>
                <w:sz w:val="24"/>
                <w:szCs w:val="24"/>
              </w:rPr>
            </w:pPr>
            <w:r>
              <w:rPr>
                <w:rFonts w:ascii="宋体" w:hAnsi="宋体" w:cs="宋体" w:hint="eastAsia"/>
                <w:color w:val="000000"/>
                <w:kern w:val="0"/>
                <w:sz w:val="24"/>
                <w:szCs w:val="24"/>
              </w:rPr>
              <w:t>备注：学院谢绝学员携带家属和小孩，谢谢！</w:t>
            </w:r>
          </w:p>
        </w:tc>
      </w:tr>
    </w:tbl>
    <w:p w:rsidR="00A4463C" w:rsidRDefault="00A4463C" w:rsidP="00843D2F">
      <w:pPr>
        <w:widowControl/>
        <w:spacing w:line="360" w:lineRule="auto"/>
        <w:rPr>
          <w:rFonts w:ascii="宋体" w:cs="宋体"/>
          <w:b/>
          <w:bCs/>
          <w:color w:val="000000"/>
          <w:kern w:val="0"/>
          <w:sz w:val="24"/>
          <w:szCs w:val="24"/>
        </w:rPr>
      </w:pPr>
    </w:p>
    <w:p w:rsidR="00A4463C" w:rsidRDefault="00A4463C" w:rsidP="00843D2F"/>
    <w:p w:rsidR="00A4463C" w:rsidRDefault="00A4463C"/>
    <w:sectPr w:rsidR="00A4463C" w:rsidSect="00DE7E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DBF" w:rsidRDefault="00E66DBF">
      <w:r>
        <w:separator/>
      </w:r>
    </w:p>
  </w:endnote>
  <w:endnote w:type="continuationSeparator" w:id="0">
    <w:p w:rsidR="00E66DBF" w:rsidRDefault="00E6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DBF" w:rsidRDefault="00E66DBF">
      <w:r>
        <w:separator/>
      </w:r>
    </w:p>
  </w:footnote>
  <w:footnote w:type="continuationSeparator" w:id="0">
    <w:p w:rsidR="00E66DBF" w:rsidRDefault="00E66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D2F"/>
    <w:rsid w:val="000314E7"/>
    <w:rsid w:val="000C5079"/>
    <w:rsid w:val="000C6A7C"/>
    <w:rsid w:val="00143D9E"/>
    <w:rsid w:val="001D3266"/>
    <w:rsid w:val="001F4F1D"/>
    <w:rsid w:val="002227EA"/>
    <w:rsid w:val="002C56C3"/>
    <w:rsid w:val="002D195D"/>
    <w:rsid w:val="00347361"/>
    <w:rsid w:val="003A5823"/>
    <w:rsid w:val="00402863"/>
    <w:rsid w:val="00416FE8"/>
    <w:rsid w:val="004E3EA8"/>
    <w:rsid w:val="005B0E12"/>
    <w:rsid w:val="0060783A"/>
    <w:rsid w:val="006330BA"/>
    <w:rsid w:val="00700DF6"/>
    <w:rsid w:val="00714F3A"/>
    <w:rsid w:val="00843D2F"/>
    <w:rsid w:val="008547B2"/>
    <w:rsid w:val="00877071"/>
    <w:rsid w:val="00885952"/>
    <w:rsid w:val="009C0044"/>
    <w:rsid w:val="00A168D0"/>
    <w:rsid w:val="00A4463C"/>
    <w:rsid w:val="00A57BA5"/>
    <w:rsid w:val="00A97885"/>
    <w:rsid w:val="00AF7824"/>
    <w:rsid w:val="00B54C30"/>
    <w:rsid w:val="00B87FA8"/>
    <w:rsid w:val="00BD7C39"/>
    <w:rsid w:val="00C109B3"/>
    <w:rsid w:val="00C32352"/>
    <w:rsid w:val="00CD1B61"/>
    <w:rsid w:val="00D03C22"/>
    <w:rsid w:val="00DC7E69"/>
    <w:rsid w:val="00DD595D"/>
    <w:rsid w:val="00DE7EF3"/>
    <w:rsid w:val="00E66DBF"/>
    <w:rsid w:val="00EF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F5DFC639-4F27-4D77-95CA-45A4677D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D2F"/>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43D9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347361"/>
    <w:rPr>
      <w:rFonts w:ascii="Times New Roman" w:hAnsi="Times New Roman" w:cs="Times New Roman"/>
      <w:sz w:val="18"/>
      <w:szCs w:val="18"/>
    </w:rPr>
  </w:style>
  <w:style w:type="paragraph" w:styleId="a4">
    <w:name w:val="footer"/>
    <w:basedOn w:val="a"/>
    <w:link w:val="Char0"/>
    <w:uiPriority w:val="99"/>
    <w:rsid w:val="00143D9E"/>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4736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059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wcf</cp:lastModifiedBy>
  <cp:revision>7</cp:revision>
  <dcterms:created xsi:type="dcterms:W3CDTF">2015-12-07T02:15:00Z</dcterms:created>
  <dcterms:modified xsi:type="dcterms:W3CDTF">2016-01-18T07:04:00Z</dcterms:modified>
</cp:coreProperties>
</file>